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Title"/>
      <w:bookmarkEnd w:id="0"/>
      <w:bookmarkStart w:id="1" w:name="DocumentFor"/>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33</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R2-260031</w:t>
      </w:r>
      <w:r>
        <w:rPr>
          <w:rFonts w:hint="default" w:ascii="Times New Roman" w:hAnsi="Times New Roman" w:cs="Times New Roman"/>
          <w:b/>
          <w:sz w:val="24"/>
          <w:lang w:val="en-IN" w:eastAsia="ja-JP"/>
        </w:rPr>
        <w:t>3</w:t>
      </w:r>
    </w:p>
    <w:p w14:paraId="7AC62114">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 xml:space="preserve">Gothenburg, Sweden, </w:t>
      </w:r>
      <w:r>
        <w:rPr>
          <w:rFonts w:hint="default" w:ascii="Times New Roman" w:hAnsi="Times New Roman" w:cs="Times New Roman"/>
          <w:sz w:val="22"/>
          <w:szCs w:val="22"/>
          <w:lang w:val="en-IN"/>
        </w:rPr>
        <w:t>09</w:t>
      </w:r>
      <w:r>
        <w:rPr>
          <w:rFonts w:hint="default" w:ascii="Times New Roman" w:hAnsi="Times New Roman" w:cs="Times New Roman"/>
          <w:sz w:val="22"/>
          <w:szCs w:val="22"/>
          <w:lang w:val="en-US"/>
        </w:rPr>
        <w:t xml:space="preserve">th - </w:t>
      </w:r>
      <w:r>
        <w:rPr>
          <w:rFonts w:hint="default" w:ascii="Times New Roman" w:hAnsi="Times New Roman" w:cs="Times New Roman"/>
          <w:sz w:val="22"/>
          <w:szCs w:val="22"/>
          <w:lang w:val="en-IN"/>
        </w:rPr>
        <w:t>13th</w:t>
      </w:r>
      <w:r>
        <w:rPr>
          <w:rFonts w:hint="default" w:ascii="Times New Roman" w:hAnsi="Times New Roman" w:cs="Times New Roman"/>
          <w:sz w:val="22"/>
          <w:szCs w:val="22"/>
          <w:lang w:val="en-US"/>
        </w:rPr>
        <w:t xml:space="preserve"> February 202</w:t>
      </w:r>
      <w:r>
        <w:rPr>
          <w:rFonts w:hint="default" w:ascii="Times New Roman" w:hAnsi="Times New Roman" w:cs="Times New Roman"/>
          <w:sz w:val="22"/>
          <w:szCs w:val="22"/>
          <w:lang w:val="en-IN"/>
        </w:rPr>
        <w:t>6</w:t>
      </w:r>
    </w:p>
    <w:p w14:paraId="12FA2811">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9.3.2</w:t>
      </w:r>
    </w:p>
    <w:p w14:paraId="777C997F">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443D20BE">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Discussion on RRM measurement prediction</w:t>
      </w:r>
    </w:p>
    <w:p w14:paraId="55A24722">
      <w:pPr>
        <w:pStyle w:val="56"/>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In RAN#109 the WI for AI Mobility in NR was approved in RP-252899. RAN2 was asked to work on the following objectives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16D4240">
            <w:p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Specify support for RRM measurement prediction and measurement event prediction for UE sided models [RAN2]:</w:t>
            </w:r>
          </w:p>
          <w:p w14:paraId="79649BEE">
            <w:pPr>
              <w:pStyle w:val="99"/>
              <w:numPr>
                <w:ilvl w:val="0"/>
                <w:numId w:val="15"/>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Temporal domain prediction case A and case B, and Frequency domain prediction for co-located cases are supported. </w:t>
            </w:r>
          </w:p>
          <w:p w14:paraId="4371C078">
            <w:pPr>
              <w:pStyle w:val="99"/>
              <w:numPr>
                <w:ilvl w:val="0"/>
                <w:numId w:val="15"/>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L3 Cell level predication is supported </w:t>
            </w:r>
          </w:p>
          <w:p w14:paraId="6022FF12">
            <w:pPr>
              <w:spacing w:before="0" w:beforeAutospacing="0" w:after="0" w:afterAutospacing="0" w:line="240" w:lineRule="auto"/>
              <w:ind w:right="0" w:firstLine="567"/>
              <w:jc w:val="both"/>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Note 1: For UE sided model, spatial domain prediction is not supported.</w:t>
            </w:r>
          </w:p>
          <w:p w14:paraId="12AD087F">
            <w:pPr>
              <w:spacing w:before="0" w:beforeAutospacing="0" w:after="0" w:afterAutospacing="0" w:line="240" w:lineRule="auto"/>
              <w:ind w:right="0" w:firstLine="567"/>
              <w:jc w:val="both"/>
              <w:rPr>
                <w:rFonts w:ascii="Arial" w:hAnsi="Arial" w:eastAsia="Arial" w:cs="Arial"/>
                <w:i w:val="0"/>
                <w:iCs w:val="0"/>
                <w:sz w:val="20"/>
                <w:szCs w:val="20"/>
                <w:lang w:val="en-GB"/>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Note 2: For UE sided model, L3 beam level prediction is not supported.</w:t>
            </w:r>
            <w:r>
              <w:rPr>
                <w:rFonts w:ascii="Arial" w:hAnsi="Arial" w:eastAsia="Arial" w:cs="Arial"/>
                <w:i w:val="0"/>
                <w:iCs w:val="0"/>
                <w:sz w:val="20"/>
                <w:szCs w:val="20"/>
                <w:lang w:val="en-GB"/>
              </w:rPr>
              <w:t xml:space="preserve"> </w:t>
            </w:r>
          </w:p>
          <w:p w14:paraId="02079007">
            <w:p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For both RRM measurement prediction and measurement event prediction, specify signalling and protocol aspects to enable LCM functionality management for UE sided model including [RAN2]:</w:t>
            </w:r>
          </w:p>
          <w:p w14:paraId="4431FA93">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UE capability request and response procedure</w:t>
            </w:r>
          </w:p>
          <w:p w14:paraId="39A9EA6E">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Applicability report for both full and partial configuration approach </w:t>
            </w:r>
          </w:p>
          <w:p w14:paraId="7DD5A73D">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Inference configuration and inference report</w:t>
            </w:r>
          </w:p>
          <w:p w14:paraId="7B883E0E">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Performance monitoring performed in UE or network side, based on which network can manage UE sided functionality</w:t>
            </w:r>
          </w:p>
          <w:p w14:paraId="5148AC67">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UE sided data collection</w:t>
            </w:r>
          </w:p>
          <w:p w14:paraId="4657061E">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For measurement event prediction:</w:t>
            </w:r>
          </w:p>
          <w:p w14:paraId="58B5C090">
            <w:pPr>
              <w:pStyle w:val="99"/>
              <w:numPr>
                <w:ilvl w:val="0"/>
                <w:numId w:val="16"/>
              </w:numPr>
              <w:spacing w:before="240" w:beforeAutospacing="0" w:after="240" w:afterAutospacing="0" w:line="240" w:lineRule="auto"/>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Measurement event A1~A6 are in the scope in this release</w:t>
            </w:r>
          </w:p>
          <w:p w14:paraId="3472CABC">
            <w:pPr>
              <w:spacing w:before="0" w:beforeAutospacing="0" w:after="0" w:afterAutospacing="0" w:line="240" w:lineRule="auto"/>
              <w:ind w:right="0"/>
              <w:jc w:val="both"/>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pPr>
            <w:r>
              <w:rPr>
                <w:rFonts w:ascii="Times New Roman" w:hAnsi="Times New Roman" w:eastAsia="Times New Roman" w:cs="Times New Roman"/>
                <w:i w:val="0"/>
                <w:iCs w:val="0"/>
                <w:color w:val="000000" w:themeColor="text1" w:themeTint="FF"/>
                <w:sz w:val="20"/>
                <w:szCs w:val="20"/>
                <w:lang w:val="en-GB"/>
                <w14:textFill>
                  <w14:solidFill>
                    <w14:schemeClr w14:val="tx1">
                      <w14:lumMod w14:val="100000"/>
                      <w14:lumOff w14:val="0"/>
                    </w14:schemeClr>
                  </w14:solidFill>
                </w14:textFill>
              </w:rPr>
              <w:t xml:space="preserve">Note3: Data transfer and model delivery for UE sided model are out of scope of this WI. And model related choices can be up to UE’s implementation. </w:t>
            </w:r>
          </w:p>
          <w:p w14:paraId="42368D56">
            <w:pPr>
              <w:numPr>
                <w:ilvl w:val="0"/>
                <w:numId w:val="0"/>
              </w:numPr>
              <w:spacing w:after="0"/>
              <w:rPr>
                <w:rFonts w:hint="default" w:ascii="Times New Roman" w:hAnsi="Times New Roman"/>
                <w:bCs/>
              </w:rPr>
            </w:pPr>
          </w:p>
        </w:tc>
      </w:tr>
    </w:tbl>
    <w:p w14:paraId="7A55A2F5">
      <w:pPr>
        <w:spacing w:before="120" w:beforeAutospacing="0" w:after="120" w:afterAutospacing="0"/>
        <w:jc w:val="both"/>
        <w:rPr>
          <w:rFonts w:hint="default" w:ascii="Times New Roman" w:hAnsi="Times New Roman" w:cs="Times New Roman"/>
        </w:rPr>
      </w:pPr>
      <w:r>
        <w:rPr>
          <w:rFonts w:ascii="Times New Roman" w:hAnsi="Times New Roman" w:eastAsia="Times New Roman" w:cs="Times New Roman"/>
          <w:color w:val="000000" w:themeColor="text1" w:themeTint="FF"/>
          <w:sz w:val="20"/>
          <w:szCs w:val="20"/>
          <w:lang w:val="en-GB"/>
          <w14:textFill>
            <w14:solidFill>
              <w14:schemeClr w14:val="tx1">
                <w14:lumMod w14:val="100000"/>
                <w14:lumOff w14:val="0"/>
              </w14:schemeClr>
            </w14:solidFill>
          </w14:textFill>
        </w:rPr>
        <w:t xml:space="preserve">In this contribution, we discuss the RRM measurement prediction and Inference Configuration for both temporal domain case A and temporal domain Case B of UE sided model. </w:t>
      </w:r>
    </w:p>
    <w:p w14:paraId="5CC7718C">
      <w:pPr>
        <w:snapToGrid w:val="0"/>
        <w:spacing w:before="120"/>
        <w:rPr>
          <w:rFonts w:hint="default" w:ascii="Times New Roman" w:hAnsi="Times New Roman" w:cs="Times New Roman"/>
        </w:rPr>
      </w:pPr>
    </w:p>
    <w:p w14:paraId="6679F923">
      <w:pPr>
        <w:snapToGrid w:val="0"/>
        <w:spacing w:before="120"/>
        <w:rPr>
          <w:rFonts w:hint="default" w:ascii="Times New Roman" w:hAnsi="Times New Roman" w:cs="Times New Roman"/>
        </w:rPr>
      </w:pP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Inference Configuration Framework</w:t>
      </w:r>
    </w:p>
    <w:p w14:paraId="7D2AEF91">
      <w:pPr>
        <w:spacing w:before="0" w:beforeAutospacing="0" w:after="120" w:afterAutospacing="0"/>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pPr>
      <w:bookmarkStart w:id="2" w:name="OLE_LINK161"/>
      <w:bookmarkStart w:id="3" w:name="OLE_LINK20"/>
      <w:bookmarkStart w:id="4" w:name="OLE_LINK21"/>
      <w:r>
        <w:rPr>
          <w:rFonts w:ascii="Times New Roman" w:hAnsi="Times New Roman" w:eastAsia="Times New Roman" w:cs="Times New Roman"/>
          <w:i w:val="0"/>
          <w:iCs w:val="0"/>
          <w:color w:val="000000" w:themeColor="text1" w:themeTint="FF"/>
          <w:sz w:val="20"/>
          <w:szCs w:val="20"/>
          <w:lang w:val="en-US"/>
          <w14:textFill>
            <w14:solidFill>
              <w14:schemeClr w14:val="tx1">
                <w14:lumMod w14:val="100000"/>
                <w14:lumOff w14:val="0"/>
              </w14:schemeClr>
            </w14:solidFill>
          </w14:textFill>
        </w:rPr>
        <w:t>A</w:t>
      </w:r>
      <w:r>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t>ccording to TR 38.744 [1], inference parameters used for inference and assessing applicability include:</w:t>
      </w:r>
    </w:p>
    <w:tbl>
      <w:tblPr>
        <w:tblStyle w:val="1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2115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0694AF9E">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GB" w:eastAsia="ko-KR"/>
              </w:rPr>
            </w:pPr>
            <w:r>
              <w:rPr>
                <w:rFonts w:hint="default" w:ascii="Times New Roman" w:hAnsi="Times New Roman" w:eastAsia="MS Mincho" w:cs="Times New Roman"/>
                <w:b/>
                <w:bCs/>
                <w:color w:val="008000"/>
                <w:sz w:val="18"/>
                <w:szCs w:val="22"/>
                <w:lang w:val="en-GB" w:eastAsia="ko-KR"/>
              </w:rPr>
              <w:t>Following inference parameters can be configured to UE for inference and assessing applicability:</w:t>
            </w:r>
          </w:p>
          <w:p w14:paraId="02893540">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GB" w:eastAsia="ko-KR"/>
              </w:rPr>
            </w:pPr>
            <w:r>
              <w:rPr>
                <w:rFonts w:hint="default" w:ascii="Times New Roman" w:hAnsi="Times New Roman" w:eastAsia="MS Mincho" w:cs="Times New Roman"/>
                <w:b/>
                <w:bCs/>
                <w:color w:val="008000"/>
                <w:sz w:val="18"/>
                <w:szCs w:val="22"/>
                <w:lang w:val="en-IN" w:eastAsia="ko-KR"/>
              </w:rPr>
              <w:t xml:space="preserve">- </w:t>
            </w:r>
            <w:r>
              <w:rPr>
                <w:rFonts w:hint="default" w:ascii="Times New Roman" w:hAnsi="Times New Roman" w:eastAsia="MS Mincho" w:cs="Times New Roman"/>
                <w:b/>
                <w:bCs/>
                <w:color w:val="008000"/>
                <w:sz w:val="18"/>
                <w:szCs w:val="22"/>
                <w:lang w:val="en-GB" w:eastAsia="ko-KR"/>
              </w:rPr>
              <w:t>PW length for intra-frequency temporal domain case A;</w:t>
            </w:r>
          </w:p>
          <w:p w14:paraId="0F22ADAC">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GB" w:eastAsia="ko-KR"/>
              </w:rPr>
            </w:pPr>
            <w:r>
              <w:rPr>
                <w:rFonts w:hint="default" w:ascii="Times New Roman" w:hAnsi="Times New Roman" w:eastAsia="MS Mincho" w:cs="Times New Roman"/>
                <w:b/>
                <w:bCs/>
                <w:color w:val="008000"/>
                <w:sz w:val="18"/>
                <w:szCs w:val="22"/>
                <w:lang w:val="en-IN" w:eastAsia="ko-KR"/>
              </w:rPr>
              <w:t xml:space="preserve">- </w:t>
            </w:r>
            <w:r>
              <w:rPr>
                <w:rFonts w:hint="default" w:ascii="Times New Roman" w:hAnsi="Times New Roman" w:eastAsia="MS Mincho" w:cs="Times New Roman"/>
                <w:b/>
                <w:bCs/>
                <w:color w:val="008000"/>
                <w:sz w:val="18"/>
                <w:szCs w:val="22"/>
                <w:lang w:val="en-GB" w:eastAsia="ko-KR"/>
              </w:rPr>
              <w:t>Measured frequency carrier and predicted frequency carrier information for inter-frequency prediction;</w:t>
            </w:r>
          </w:p>
          <w:p w14:paraId="2FDFD800">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GB" w:eastAsia="ko-KR"/>
              </w:rPr>
            </w:pPr>
            <w:r>
              <w:rPr>
                <w:rFonts w:hint="default" w:ascii="Times New Roman" w:hAnsi="Times New Roman" w:eastAsia="MS Mincho" w:cs="Times New Roman"/>
                <w:b/>
                <w:bCs/>
                <w:color w:val="008000"/>
                <w:sz w:val="18"/>
                <w:szCs w:val="22"/>
                <w:lang w:val="en-IN" w:eastAsia="ko-KR"/>
              </w:rPr>
              <w:t xml:space="preserve">- </w:t>
            </w:r>
            <w:r>
              <w:rPr>
                <w:rFonts w:hint="default" w:ascii="Times New Roman" w:hAnsi="Times New Roman" w:eastAsia="MS Mincho" w:cs="Times New Roman"/>
                <w:b/>
                <w:bCs/>
                <w:color w:val="008000"/>
                <w:sz w:val="18"/>
                <w:szCs w:val="22"/>
                <w:lang w:val="en-GB" w:eastAsia="ko-KR"/>
              </w:rPr>
              <w:t>Parameter for intra-frequency temporal domain case B to indicate the timing of network’s SSB configuration (but not necessarily the timing for UE to perform or skip measurement);</w:t>
            </w:r>
          </w:p>
          <w:p w14:paraId="5264FF56">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GB" w:eastAsia="ko-KR"/>
              </w:rPr>
            </w:pPr>
            <w:r>
              <w:rPr>
                <w:rFonts w:hint="default" w:ascii="Times New Roman" w:hAnsi="Times New Roman" w:eastAsia="MS Mincho" w:cs="Times New Roman"/>
                <w:b/>
                <w:bCs/>
                <w:color w:val="008000"/>
                <w:sz w:val="18"/>
                <w:szCs w:val="22"/>
                <w:lang w:val="en-IN" w:eastAsia="ko-KR"/>
              </w:rPr>
              <w:t xml:space="preserve">- </w:t>
            </w:r>
            <w:r>
              <w:rPr>
                <w:rFonts w:hint="default" w:ascii="Times New Roman" w:hAnsi="Times New Roman" w:eastAsia="MS Mincho" w:cs="Times New Roman"/>
                <w:b/>
                <w:bCs/>
                <w:color w:val="008000"/>
                <w:sz w:val="18"/>
                <w:szCs w:val="22"/>
                <w:lang w:val="en-GB" w:eastAsia="ko-KR"/>
              </w:rPr>
              <w:t>Optional list of cells for intra-frequency temporal domain case A, for which network expects inference report (if available);</w:t>
            </w:r>
          </w:p>
          <w:p w14:paraId="36EE74C4">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GB" w:eastAsia="ko-KR"/>
              </w:rPr>
            </w:pPr>
            <w:r>
              <w:rPr>
                <w:rFonts w:hint="default" w:ascii="Times New Roman" w:hAnsi="Times New Roman" w:eastAsia="MS Mincho" w:cs="Times New Roman"/>
                <w:b/>
                <w:bCs/>
                <w:color w:val="008000"/>
                <w:sz w:val="18"/>
                <w:szCs w:val="22"/>
                <w:lang w:val="en-IN" w:eastAsia="ko-KR"/>
              </w:rPr>
              <w:t xml:space="preserve">- </w:t>
            </w:r>
            <w:r>
              <w:rPr>
                <w:rFonts w:hint="default" w:ascii="Times New Roman" w:hAnsi="Times New Roman" w:eastAsia="MS Mincho" w:cs="Times New Roman"/>
                <w:b/>
                <w:bCs/>
                <w:color w:val="008000"/>
                <w:sz w:val="18"/>
                <w:szCs w:val="22"/>
                <w:lang w:val="en-GB" w:eastAsia="ko-KR"/>
              </w:rPr>
              <w:t>Optional Beam pattern e.g. to save SSB transmission for intra-frequency spatial domain prediction;</w:t>
            </w:r>
          </w:p>
          <w:p w14:paraId="77417B5C">
            <w:pPr>
              <w:overflowPunct/>
              <w:autoSpaceDE/>
              <w:autoSpaceDN/>
              <w:adjustRightInd/>
              <w:spacing w:before="100" w:beforeAutospacing="1" w:after="12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cs="Times New Roman"/>
                <w:b/>
                <w:bCs/>
                <w:color w:val="008000"/>
                <w:sz w:val="18"/>
                <w:szCs w:val="22"/>
                <w:lang w:val="en-IN" w:eastAsia="ko-KR"/>
              </w:rPr>
              <w:t xml:space="preserve">- </w:t>
            </w:r>
            <w:r>
              <w:rPr>
                <w:rFonts w:hint="default" w:ascii="Times New Roman" w:hAnsi="Times New Roman" w:eastAsia="MS Mincho" w:cs="Times New Roman"/>
                <w:b/>
                <w:bCs/>
                <w:color w:val="008000"/>
                <w:sz w:val="18"/>
                <w:szCs w:val="22"/>
                <w:lang w:val="en-GB" w:eastAsia="ko-KR"/>
              </w:rPr>
              <w:t>Optional associated ID.</w:t>
            </w:r>
          </w:p>
        </w:tc>
      </w:tr>
    </w:tbl>
    <w:p w14:paraId="7CC345C8">
      <w:pPr>
        <w:spacing w:before="0" w:beforeAutospacing="0" w:after="120" w:afterAutospacing="0"/>
        <w:rPr>
          <w:rFonts w:ascii="Times New Roman" w:hAnsi="Times New Roman" w:eastAsia="Times New Roman" w:cs="Times New Roman"/>
          <w:color w:val="000000" w:themeColor="text1" w:themeTint="FF"/>
          <w:sz w:val="20"/>
          <w:szCs w:val="20"/>
          <w:lang w:val="en-US"/>
          <w14:textFill>
            <w14:solidFill>
              <w14:schemeClr w14:val="tx1">
                <w14:lumMod w14:val="100000"/>
                <w14:lumOff w14:val="0"/>
              </w14:schemeClr>
            </w14:solidFill>
          </w14:textFill>
        </w:rPr>
      </w:pPr>
    </w:p>
    <w:p w14:paraId="59A84CFF">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2.1  Associated ID</w:t>
      </w:r>
    </w:p>
    <w:p w14:paraId="67A3F91E">
      <w:pPr>
        <w:pStyle w:val="41"/>
        <w:keepNext w:val="0"/>
        <w:keepLines w:val="0"/>
        <w:widowControl/>
        <w:suppressLineNumbers w:val="0"/>
        <w:jc w:val="both"/>
        <w:rPr>
          <w:rFonts w:hint="default" w:ascii="Times New Roman" w:hAnsi="Times New Roman" w:eastAsia="SimSun" w:cs="Times New Roman"/>
          <w:sz w:val="20"/>
          <w:szCs w:val="20"/>
          <w:lang w:val="en-IN" w:eastAsia="zh-CN" w:bidi="ar-SA"/>
        </w:rPr>
      </w:pPr>
      <w:r>
        <w:rPr>
          <w:rFonts w:hint="default" w:ascii="Times New Roman" w:hAnsi="Times New Roman" w:eastAsia="SimSun" w:cs="Times New Roman"/>
          <w:b/>
          <w:bCs/>
          <w:sz w:val="20"/>
          <w:szCs w:val="20"/>
          <w:lang w:val="en-IN" w:eastAsia="zh-CN" w:bidi="ar-SA"/>
        </w:rPr>
        <w:t>Observation:</w:t>
      </w:r>
      <w:r>
        <w:rPr>
          <w:rFonts w:hint="default" w:eastAsia="SimSun" w:cs="Times New Roman"/>
          <w:b/>
          <w:bCs/>
          <w:sz w:val="20"/>
          <w:szCs w:val="20"/>
          <w:lang w:val="en-IN" w:eastAsia="zh-CN" w:bidi="ar-SA"/>
        </w:rPr>
        <w:t xml:space="preserve"> </w:t>
      </w:r>
      <w:r>
        <w:rPr>
          <w:rFonts w:hint="default" w:ascii="Times New Roman" w:hAnsi="Times New Roman" w:eastAsia="SimSun" w:cs="Times New Roman"/>
          <w:sz w:val="20"/>
          <w:szCs w:val="20"/>
          <w:lang w:val="en-IN" w:eastAsia="zh-CN" w:bidi="ar-SA"/>
        </w:rPr>
        <w:t>The associated ID is introduced as an optional inference parameter to support applicability assessment by providing contextual information related to the inference use case. Its primary purpose is to assist in maintaining consistency between network expectations and UE-side inference behavior, particularly in</w:t>
      </w:r>
      <w:r>
        <w:rPr>
          <w:rFonts w:hint="default" w:eastAsia="SimSun" w:cs="Times New Roman"/>
          <w:sz w:val="20"/>
          <w:szCs w:val="20"/>
          <w:lang w:val="en-IN" w:eastAsia="zh-CN" w:bidi="ar-SA"/>
        </w:rPr>
        <w:t xml:space="preserve"> AI-PHY [3]</w:t>
      </w:r>
      <w:r>
        <w:rPr>
          <w:rFonts w:hint="default" w:ascii="Times New Roman" w:hAnsi="Times New Roman" w:eastAsia="SimSun" w:cs="Times New Roman"/>
          <w:sz w:val="20"/>
          <w:szCs w:val="20"/>
          <w:lang w:val="en-IN" w:eastAsia="zh-CN" w:bidi="ar-SA"/>
        </w:rPr>
        <w:t xml:space="preserve"> scenarios where inference applicability may depend on specific training or deployment conditions.</w:t>
      </w:r>
    </w:p>
    <w:p w14:paraId="730C2382">
      <w:pPr>
        <w:pStyle w:val="41"/>
        <w:keepNext w:val="0"/>
        <w:keepLines w:val="0"/>
        <w:widowControl/>
        <w:suppressLineNumbers w:val="0"/>
        <w:jc w:val="both"/>
        <w:rPr>
          <w:rFonts w:hint="default" w:ascii="Times New Roman" w:hAnsi="Times New Roman" w:eastAsia="SimSun" w:cs="Times New Roman"/>
          <w:sz w:val="20"/>
          <w:szCs w:val="20"/>
          <w:lang w:val="en-IN" w:eastAsia="zh-CN" w:bidi="ar-SA"/>
        </w:rPr>
      </w:pPr>
      <w:r>
        <w:rPr>
          <w:rFonts w:hint="default" w:ascii="Times New Roman" w:hAnsi="Times New Roman" w:eastAsia="SimSun" w:cs="Times New Roman"/>
          <w:sz w:val="20"/>
          <w:szCs w:val="20"/>
          <w:lang w:val="en-IN" w:eastAsia="zh-CN" w:bidi="ar-SA"/>
        </w:rPr>
        <w:t>From evaluations and implementation experience with RRM measurement prediction, it is observed that AI/ML models designed with sufficient generalization capability can exhibit robust performance across diverse operating conditions, including variations in UE mobility, carrier frequency, and cell deployment configurations. Such generalized models enable the UE to detect environmental changes using implementation-specific mechanisms, for example by observing variations in the number of detected cells, signal quality metrics, and temporal stability of measurements.</w:t>
      </w:r>
    </w:p>
    <w:p w14:paraId="1E9A0EA4">
      <w:pPr>
        <w:pStyle w:val="41"/>
        <w:keepNext w:val="0"/>
        <w:keepLines w:val="0"/>
        <w:widowControl/>
        <w:suppressLineNumbers w:val="0"/>
        <w:jc w:val="both"/>
        <w:rPr>
          <w:rFonts w:hint="default" w:ascii="Times New Roman" w:hAnsi="Times New Roman" w:eastAsia="SimSun" w:cs="Times New Roman"/>
          <w:sz w:val="20"/>
          <w:szCs w:val="20"/>
          <w:lang w:val="en-IN" w:eastAsia="zh-CN" w:bidi="ar-SA"/>
        </w:rPr>
      </w:pPr>
      <w:r>
        <w:rPr>
          <w:rFonts w:hint="default" w:ascii="Times New Roman" w:hAnsi="Times New Roman" w:eastAsia="SimSun" w:cs="Times New Roman"/>
          <w:sz w:val="20"/>
          <w:szCs w:val="20"/>
          <w:lang w:val="en-IN" w:eastAsia="zh-CN" w:bidi="ar-SA"/>
        </w:rPr>
        <w:t>As a result, the UE can autonomously assess whether current inference conditions remain applicable, without necessarily relying on explicit identification of inference context through an associated ID. In particular, for mobility-related AI/ML use cases, where environmental dynamics are already reflected in measured signal characteristics, UE-side consistency verification may be sufficient to ensure alignment between training assumptions and inference operation.</w:t>
      </w:r>
    </w:p>
    <w:p w14:paraId="51C17DD8">
      <w:pPr>
        <w:pStyle w:val="3"/>
        <w:numPr>
          <w:ilvl w:val="0"/>
          <w:numId w:val="0"/>
        </w:numPr>
        <w:spacing w:before="240" w:beforeAutospacing="0" w:after="120" w:afterAutospacing="0"/>
        <w:ind w:left="0"/>
        <w:rPr>
          <w:rFonts w:hint="default" w:ascii="Times New Roman" w:hAnsi="Times New Roman" w:eastAsia="SimSun" w:cs="Times New Roman"/>
          <w:b/>
          <w:bCs/>
          <w:sz w:val="20"/>
          <w:szCs w:val="20"/>
          <w:lang w:val="en-US" w:eastAsia="zh-CN" w:bidi="ar-SA"/>
        </w:rPr>
      </w:pPr>
      <w:r>
        <w:rPr>
          <w:rFonts w:hint="default" w:ascii="Times New Roman" w:hAnsi="Times New Roman" w:eastAsia="SimSun" w:cs="Times New Roman"/>
          <w:b/>
          <w:bCs/>
          <w:sz w:val="20"/>
          <w:szCs w:val="20"/>
          <w:lang w:val="en-US" w:eastAsia="zh-CN" w:bidi="ar-SA"/>
        </w:rPr>
        <w:t>Proposal 1: For AI/ML mobility use cases with generalized models, the necessity of associated ID should be further evaluated. UE implementation-based consistency verification mechanisms are sufficient to ensure alignment between training and inference conditions.</w:t>
      </w:r>
    </w:p>
    <w:p w14:paraId="234D964E">
      <w:pPr>
        <w:rPr>
          <w:rFonts w:hint="default"/>
          <w:lang w:val="en-IN" w:eastAsia="zh-CN"/>
        </w:rPr>
      </w:pPr>
    </w:p>
    <w:p w14:paraId="1D43DF27">
      <w:pPr>
        <w:pStyle w:val="3"/>
        <w:numPr>
          <w:ilvl w:val="0"/>
          <w:numId w:val="0"/>
        </w:numPr>
        <w:ind w:left="0"/>
        <w:rPr>
          <w:rFonts w:ascii="Times New Roman" w:hAnsi="Times New Roman" w:eastAsia="Times New Roman" w:cs="Times New Roman"/>
          <w:i w:val="0"/>
          <w:iCs w:val="0"/>
          <w:lang w:val="en-IN" w:eastAsia="zh-CN"/>
        </w:rPr>
      </w:pPr>
      <w:r>
        <w:rPr>
          <w:rFonts w:hint="default" w:ascii="Times New Roman" w:hAnsi="Times New Roman" w:cs="Times New Roman"/>
          <w:lang w:val="en-IN" w:eastAsia="zh-CN"/>
        </w:rPr>
        <w:t>2.2 Inference Configuration for Temporal Domain Case A</w:t>
      </w:r>
    </w:p>
    <w:p w14:paraId="2A1C483A">
      <w:pPr>
        <w:spacing w:before="240" w:beforeAutospacing="0" w:after="240" w:afterAutospacing="0"/>
        <w:jc w:val="both"/>
        <w:rPr>
          <w:rFonts w:ascii="Times New Roman" w:hAnsi="Times New Roman" w:eastAsia="Times New Roman" w:cs="Times New Roman"/>
          <w:i w:val="0"/>
          <w:iCs w:val="0"/>
          <w:sz w:val="20"/>
          <w:szCs w:val="20"/>
          <w:lang w:val="en-IN"/>
        </w:rPr>
      </w:pPr>
      <w:r>
        <w:rPr>
          <w:rFonts w:hint="default" w:ascii="Times New Roman" w:hAnsi="Times New Roman" w:cs="Times New Roman"/>
          <w:b/>
          <w:bCs/>
          <w:lang w:val="en-IN" w:eastAsia="zh-CN"/>
        </w:rPr>
        <w:t>Observation:</w:t>
      </w:r>
      <w:r>
        <w:rPr>
          <w:rFonts w:ascii="Times New Roman" w:hAnsi="Times New Roman" w:eastAsia="Times New Roman" w:cs="Times New Roman"/>
          <w:i w:val="0"/>
          <w:iCs w:val="0"/>
          <w:sz w:val="20"/>
          <w:szCs w:val="20"/>
          <w:lang w:val="en-IN"/>
        </w:rPr>
        <w:t xml:space="preserve"> For intra-frequency temporal domain Case A, the inference configuration and reporting for RRM measurement prediction is based on the existing RRC RRM measurement configuration and reporting framework. Once a full inference configuration is provided, the UE maintains the configuration until it is explicitly released by the network.</w:t>
      </w:r>
    </w:p>
    <w:p w14:paraId="1432C2FE">
      <w:pPr>
        <w:spacing w:before="240" w:beforeAutospacing="0" w:after="240" w:afterAutospacing="0"/>
        <w:jc w:val="both"/>
        <w:rPr>
          <w:rFonts w:ascii="Times New Roman" w:hAnsi="Times New Roman" w:eastAsia="Times New Roman" w:cs="Times New Roman"/>
          <w:i w:val="0"/>
          <w:iCs w:val="0"/>
          <w:sz w:val="20"/>
          <w:szCs w:val="20"/>
          <w:lang w:val="en-IN"/>
        </w:rPr>
      </w:pPr>
      <w:r>
        <w:rPr>
          <w:rFonts w:ascii="Times New Roman" w:hAnsi="Times New Roman" w:eastAsia="Times New Roman" w:cs="Times New Roman"/>
          <w:i w:val="0"/>
          <w:iCs w:val="0"/>
          <w:sz w:val="20"/>
          <w:szCs w:val="20"/>
          <w:lang w:val="en-IN"/>
        </w:rPr>
        <w:t xml:space="preserve">The Prediction Window (PW) length is a key inference parameter enabling the UE to determine the time horizon over which predicted RRM measurement results are applicable. One or more predicted measurement instances within the PW may be reported per cell in a single </w:t>
      </w:r>
      <w:r>
        <w:rPr>
          <w:rFonts w:ascii="Consolas" w:hAnsi="Consolas" w:eastAsia="Consolas" w:cs="Consolas"/>
          <w:i w:val="0"/>
          <w:iCs w:val="0"/>
          <w:sz w:val="20"/>
          <w:szCs w:val="20"/>
          <w:lang w:val="en-IN"/>
        </w:rPr>
        <w:t>measurementReport</w:t>
      </w:r>
      <w:r>
        <w:rPr>
          <w:rFonts w:ascii="Times New Roman" w:hAnsi="Times New Roman" w:eastAsia="Times New Roman" w:cs="Times New Roman"/>
          <w:i w:val="0"/>
          <w:iCs w:val="0"/>
          <w:sz w:val="20"/>
          <w:szCs w:val="20"/>
          <w:lang w:val="en-IN"/>
        </w:rPr>
        <w:t xml:space="preserve"> message, and the list of target cells for which the network expects prediction results may be optionally configured.</w:t>
      </w:r>
    </w:p>
    <w:p w14:paraId="0644793B">
      <w:pPr>
        <w:spacing w:before="240" w:beforeAutospacing="0" w:after="240" w:afterAutospacing="0"/>
        <w:jc w:val="both"/>
        <w:rPr>
          <w:rFonts w:ascii="Times New Roman" w:hAnsi="Times New Roman" w:eastAsia="Times New Roman" w:cs="Times New Roman"/>
          <w:sz w:val="20"/>
          <w:szCs w:val="20"/>
          <w:lang w:val="en-IN"/>
        </w:rPr>
      </w:pPr>
      <w:r>
        <w:rPr>
          <w:rFonts w:ascii="Times New Roman" w:hAnsi="Times New Roman" w:eastAsia="Times New Roman" w:cs="Times New Roman"/>
          <w:i w:val="0"/>
          <w:iCs w:val="0"/>
          <w:sz w:val="20"/>
          <w:szCs w:val="20"/>
          <w:lang w:val="en-IN"/>
        </w:rPr>
        <w:t xml:space="preserve">Two PW length configuration approaches have been mentioned in the session summary </w:t>
      </w:r>
      <w:r>
        <w:rPr>
          <w:rFonts w:ascii="Times New Roman" w:hAnsi="Times New Roman" w:eastAsia="Times New Roman" w:cs="Times New Roman"/>
          <w:sz w:val="20"/>
          <w:szCs w:val="20"/>
          <w:lang w:val="en-IN"/>
        </w:rPr>
        <w:t>R2-2509111</w:t>
      </w:r>
      <w:r>
        <w:rPr>
          <w:rFonts w:hint="default" w:ascii="Times New Roman" w:hAnsi="Times New Roman" w:eastAsia="Times New Roman" w:cs="Times New Roman"/>
          <w:sz w:val="20"/>
          <w:szCs w:val="20"/>
          <w:lang w:val="en-IN"/>
        </w:rPr>
        <w:t xml:space="preserve"> [4]</w:t>
      </w:r>
      <w:r>
        <w:rPr>
          <w:rFonts w:ascii="Times New Roman" w:hAnsi="Times New Roman" w:eastAsia="Times New Roman" w:cs="Times New Roman"/>
          <w:sz w:val="20"/>
          <w:szCs w:val="20"/>
          <w:lang w:val="en-IN"/>
        </w:rPr>
        <w:t>:</w:t>
      </w:r>
    </w:p>
    <w:p w14:paraId="1197F2CB">
      <w:pPr>
        <w:spacing w:before="240" w:beforeAutospacing="0" w:after="240" w:afterAutospacing="0"/>
        <w:jc w:val="both"/>
      </w:pPr>
      <w:r>
        <w:rPr>
          <w:rFonts w:ascii="Times New Roman" w:hAnsi="Times New Roman" w:eastAsia="Times New Roman" w:cs="Times New Roman"/>
          <w:i w:val="0"/>
          <w:iCs w:val="0"/>
          <w:sz w:val="20"/>
          <w:szCs w:val="20"/>
          <w:lang w:val="en-IN"/>
        </w:rPr>
        <w:t xml:space="preserve">1. configuration of PW as a single time duration value, and </w:t>
      </w:r>
    </w:p>
    <w:p w14:paraId="2F613493">
      <w:pPr>
        <w:spacing w:before="240" w:beforeAutospacing="0" w:after="240" w:afterAutospacing="0"/>
        <w:jc w:val="both"/>
        <w:rPr>
          <w:rFonts w:ascii="Times New Roman" w:hAnsi="Times New Roman" w:eastAsia="Times New Roman" w:cs="Times New Roman"/>
          <w:i w:val="0"/>
          <w:iCs w:val="0"/>
          <w:sz w:val="20"/>
          <w:szCs w:val="20"/>
          <w:lang w:val="en-IN"/>
        </w:rPr>
      </w:pPr>
      <w:r>
        <w:rPr>
          <w:rFonts w:ascii="Times New Roman" w:hAnsi="Times New Roman" w:eastAsia="Times New Roman" w:cs="Times New Roman"/>
          <w:i w:val="0"/>
          <w:iCs w:val="0"/>
          <w:sz w:val="20"/>
          <w:szCs w:val="20"/>
          <w:lang w:val="en-IN"/>
        </w:rPr>
        <w:t>2. configuration of PW using the number of prediction instances and the interval between consecutive instances. These approaches represent different trade-offs between network control and UE implementation flexibility.</w:t>
      </w:r>
    </w:p>
    <w:p w14:paraId="037A0CDF">
      <w:pPr>
        <w:rPr>
          <w:rFonts w:ascii="Times New Roman" w:hAnsi="Times New Roman" w:eastAsia="Times New Roman" w:cs="Times New Roman"/>
          <w:i w:val="0"/>
          <w:iCs w:val="0"/>
          <w:sz w:val="20"/>
          <w:szCs w:val="20"/>
          <w:lang w:val="en-IN"/>
        </w:rPr>
      </w:pPr>
      <w:r>
        <w:rPr>
          <w:rFonts w:ascii="Times New Roman" w:hAnsi="Times New Roman" w:eastAsia="Times New Roman" w:cs="Times New Roman"/>
          <w:i w:val="0"/>
          <w:iCs w:val="0"/>
          <w:sz w:val="20"/>
          <w:szCs w:val="20"/>
          <w:lang w:val="en-IN"/>
        </w:rPr>
        <w:t>Consistent with legacy RRM principles, the exact timing, number, and realization of prediction instances within the PW remain UE implementation specific.</w:t>
      </w:r>
    </w:p>
    <w:tbl>
      <w:tblPr>
        <w:tblStyle w:val="1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1C4D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4152CD09">
            <w:pPr>
              <w:overflowPunct/>
              <w:autoSpaceDE/>
              <w:autoSpaceDN/>
              <w:adjustRightInd/>
              <w:spacing w:before="100" w:beforeAutospacing="1" w:after="120"/>
              <w:textAlignment w:val="auto"/>
              <w:rPr>
                <w:rFonts w:hint="default" w:ascii="Times New Roman" w:hAnsi="Times New Roman" w:eastAsia="Times New Roman" w:cs="Times New Roman"/>
                <w:b/>
                <w:bCs/>
                <w:i w:val="0"/>
                <w:iCs w:val="0"/>
                <w:caps w:val="0"/>
                <w:smallCaps w:val="0"/>
                <w:color w:val="0000FF"/>
                <w:sz w:val="20"/>
                <w:szCs w:val="20"/>
                <w:lang w:val="en-IN"/>
              </w:rPr>
            </w:pPr>
            <w:r>
              <w:rPr>
                <w:rFonts w:ascii="Times New Roman" w:hAnsi="Times New Roman" w:eastAsia="Times New Roman" w:cs="Times New Roman"/>
                <w:b/>
                <w:bCs/>
                <w:i w:val="0"/>
                <w:iCs w:val="0"/>
                <w:caps w:val="0"/>
                <w:smallCaps w:val="0"/>
                <w:color w:val="0000FF"/>
                <w:sz w:val="20"/>
                <w:szCs w:val="20"/>
                <w:lang w:val="en-IN"/>
              </w:rPr>
              <w:t>Mobility class indication in inference configuration</w:t>
            </w:r>
            <w:r>
              <w:rPr>
                <w:rFonts w:hint="default" w:ascii="Times New Roman" w:hAnsi="Times New Roman" w:eastAsia="Times New Roman" w:cs="Times New Roman"/>
                <w:b/>
                <w:bCs/>
                <w:i w:val="0"/>
                <w:iCs w:val="0"/>
                <w:caps w:val="0"/>
                <w:smallCaps w:val="0"/>
                <w:color w:val="0000FF"/>
                <w:sz w:val="20"/>
                <w:szCs w:val="20"/>
                <w:lang w:val="en-IN"/>
              </w:rPr>
              <w:t>:</w:t>
            </w:r>
          </w:p>
          <w:p w14:paraId="44C6943A">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GB" w:eastAsia="ko-KR"/>
              </w:rPr>
            </w:pPr>
            <w:r>
              <w:rPr>
                <w:rFonts w:hint="default" w:ascii="Times New Roman" w:hAnsi="Times New Roman" w:eastAsia="MS Mincho" w:cs="Times New Roman"/>
                <w:b/>
                <w:bCs/>
                <w:color w:val="008000"/>
                <w:sz w:val="18"/>
                <w:szCs w:val="22"/>
                <w:lang w:val="en-GB" w:eastAsia="ko-KR"/>
              </w:rPr>
              <w:t xml:space="preserve">Following inference parameters can be configured to UE for </w:t>
            </w:r>
            <w:r>
              <w:rPr>
                <w:rFonts w:hint="default" w:ascii="Times New Roman" w:hAnsi="Times New Roman" w:eastAsia="MS Mincho" w:cs="Times New Roman"/>
                <w:b/>
                <w:bCs/>
                <w:color w:val="008000"/>
                <w:sz w:val="18"/>
                <w:szCs w:val="22"/>
                <w:lang w:val="en-IN" w:eastAsia="ko-KR"/>
              </w:rPr>
              <w:t>temporal domain case A</w:t>
            </w:r>
            <w:r>
              <w:rPr>
                <w:rFonts w:hint="default" w:ascii="Times New Roman" w:hAnsi="Times New Roman" w:eastAsia="MS Mincho" w:cs="Times New Roman"/>
                <w:b/>
                <w:bCs/>
                <w:color w:val="008000"/>
                <w:sz w:val="18"/>
                <w:szCs w:val="22"/>
                <w:lang w:val="en-GB" w:eastAsia="ko-KR"/>
              </w:rPr>
              <w:t>:</w:t>
            </w:r>
          </w:p>
          <w:p w14:paraId="70CA2974">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IN" w:eastAsia="ko-KR"/>
              </w:rPr>
            </w:pPr>
            <w:r>
              <w:rPr>
                <w:rFonts w:hint="default" w:ascii="Times New Roman" w:hAnsi="Times New Roman" w:eastAsia="MS Mincho" w:cs="Times New Roman"/>
                <w:b/>
                <w:bCs/>
                <w:color w:val="008000"/>
                <w:sz w:val="18"/>
                <w:szCs w:val="22"/>
                <w:lang w:val="en-IN" w:eastAsia="ko-KR"/>
              </w:rPr>
              <w:t xml:space="preserve">The validity and usefulness of predicted measurement results within a PW depend on UE mobility characteristics, where longer prediction windows are generally more suitable for low-mobility scenarios and shorter prediction windows are more appropriate for high-mobility scenarios. </w:t>
            </w:r>
          </w:p>
          <w:p w14:paraId="70FB9189">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IN" w:eastAsia="ko-KR"/>
              </w:rPr>
            </w:pPr>
            <w:r>
              <w:rPr>
                <w:rFonts w:hint="default" w:ascii="Times New Roman" w:hAnsi="Times New Roman" w:eastAsia="MS Mincho" w:cs="Times New Roman"/>
                <w:b/>
                <w:bCs/>
                <w:color w:val="008000"/>
                <w:sz w:val="18"/>
                <w:szCs w:val="22"/>
                <w:lang w:val="en-IN" w:eastAsia="ko-KR"/>
              </w:rPr>
              <w:t>A single static PW configuration may therefore be inefficient across diverse mobility conditions.</w:t>
            </w:r>
          </w:p>
          <w:p w14:paraId="1BDEA316">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val="en-IN" w:eastAsia="ko-KR"/>
              </w:rPr>
            </w:pPr>
            <w:r>
              <w:rPr>
                <w:rFonts w:hint="default" w:ascii="Times New Roman" w:hAnsi="Times New Roman" w:eastAsia="MS Mincho" w:cs="Times New Roman"/>
                <w:b/>
                <w:bCs/>
                <w:color w:val="008000"/>
                <w:sz w:val="18"/>
                <w:szCs w:val="22"/>
                <w:lang w:val="en-IN" w:eastAsia="ko-KR"/>
              </w:rPr>
              <w:t>Leveraging mobility awareness for PW configuration aligns with existing RRM design principles such as mobility-dependent measurement filtering and reporting behavior.</w:t>
            </w:r>
          </w:p>
        </w:tc>
      </w:tr>
    </w:tbl>
    <w:p w14:paraId="5C2C9C7B">
      <w:pPr>
        <w:rPr>
          <w:rFonts w:ascii="Times New Roman" w:hAnsi="Times New Roman" w:eastAsia="Times New Roman" w:cs="Times New Roman"/>
          <w:i w:val="0"/>
          <w:iCs w:val="0"/>
          <w:sz w:val="20"/>
          <w:szCs w:val="20"/>
          <w:lang w:val="en-IN"/>
        </w:rPr>
      </w:pPr>
    </w:p>
    <w:p w14:paraId="3C469F0A">
      <w:pPr>
        <w:keepNext w:val="0"/>
        <w:keepLines w:val="0"/>
        <w:widowControl/>
        <w:suppressLineNumbers w:val="0"/>
        <w:jc w:val="left"/>
        <w:rPr>
          <w:rFonts w:hint="default" w:ascii="Times New Roman" w:hAnsi="Times New Roman" w:eastAsia="Times New Roman" w:cs="Times New Roman"/>
          <w:i w:val="0"/>
          <w:iCs w:val="0"/>
          <w:sz w:val="20"/>
          <w:szCs w:val="20"/>
          <w:lang w:val="en-IN"/>
        </w:rPr>
      </w:pPr>
      <w:r>
        <w:rPr>
          <w:rFonts w:hint="default" w:ascii="Times New Roman" w:hAnsi="Times New Roman" w:eastAsia="Times New Roman" w:cs="Times New Roman"/>
          <w:i w:val="0"/>
          <w:iCs w:val="0"/>
          <w:sz w:val="20"/>
          <w:szCs w:val="20"/>
          <w:lang w:val="en-IN"/>
        </w:rPr>
        <w:t xml:space="preserve">The mobility class based prediction window is shown in Fig 2.2. </w:t>
      </w:r>
    </w:p>
    <w:p w14:paraId="66F353DB">
      <w:pPr>
        <w:keepNext w:val="0"/>
        <w:keepLines w:val="0"/>
        <w:widowControl/>
        <w:suppressLineNumbers w:val="0"/>
        <w:jc w:val="left"/>
        <w:rPr>
          <w:rFonts w:hint="default" w:ascii="Times New Roman" w:hAnsi="Times New Roman" w:eastAsia="Times New Roman" w:cs="Times New Roman"/>
          <w:i w:val="0"/>
          <w:iCs w:val="0"/>
          <w:sz w:val="20"/>
          <w:szCs w:val="20"/>
          <w:lang w:val="en-IN"/>
        </w:rPr>
      </w:pPr>
      <w:r>
        <w:rPr>
          <w:rFonts w:ascii="SimSun" w:hAnsi="SimSun" w:eastAsia="SimSun" w:cs="SimSun"/>
          <w:kern w:val="0"/>
          <w:sz w:val="24"/>
          <w:szCs w:val="24"/>
          <w:lang w:val="en-US" w:eastAsia="zh-CN" w:bidi="ar"/>
        </w:rPr>
        <w:drawing>
          <wp:anchor distT="0" distB="0" distL="114300" distR="114300" simplePos="0" relativeHeight="251659264" behindDoc="1" locked="0" layoutInCell="1" allowOverlap="1">
            <wp:simplePos x="0" y="0"/>
            <wp:positionH relativeFrom="column">
              <wp:posOffset>1162685</wp:posOffset>
            </wp:positionH>
            <wp:positionV relativeFrom="paragraph">
              <wp:posOffset>73025</wp:posOffset>
            </wp:positionV>
            <wp:extent cx="3097530" cy="2376170"/>
            <wp:effectExtent l="0" t="0" r="11430" b="1270"/>
            <wp:wrapTight wrapText="bothSides">
              <wp:wrapPolygon>
                <wp:start x="956" y="139"/>
                <wp:lineTo x="213" y="2355"/>
                <wp:lineTo x="319" y="5541"/>
                <wp:lineTo x="5951" y="6788"/>
                <wp:lineTo x="10734" y="6788"/>
                <wp:lineTo x="956" y="7619"/>
                <wp:lineTo x="850" y="8312"/>
                <wp:lineTo x="3932" y="9005"/>
                <wp:lineTo x="1063" y="9143"/>
                <wp:lineTo x="213" y="9559"/>
                <wp:lineTo x="319" y="13022"/>
                <wp:lineTo x="2232" y="13438"/>
                <wp:lineTo x="9139" y="13438"/>
                <wp:lineTo x="850" y="15516"/>
                <wp:lineTo x="213" y="17871"/>
                <wp:lineTo x="531" y="21057"/>
                <wp:lineTo x="10840" y="21473"/>
                <wp:lineTo x="12115" y="21473"/>
                <wp:lineTo x="21148" y="21196"/>
                <wp:lineTo x="21361" y="20226"/>
                <wp:lineTo x="17748" y="20088"/>
                <wp:lineTo x="17960" y="18148"/>
                <wp:lineTo x="17429" y="17871"/>
                <wp:lineTo x="17110" y="17317"/>
                <wp:lineTo x="11371" y="15655"/>
                <wp:lineTo x="12009" y="15655"/>
                <wp:lineTo x="17216" y="13715"/>
                <wp:lineTo x="21361" y="13438"/>
                <wp:lineTo x="21361" y="12745"/>
                <wp:lineTo x="17748" y="11221"/>
                <wp:lineTo x="17960" y="9975"/>
                <wp:lineTo x="15091" y="9559"/>
                <wp:lineTo x="5207" y="9005"/>
                <wp:lineTo x="11796" y="8589"/>
                <wp:lineTo x="12221" y="8174"/>
                <wp:lineTo x="10734" y="6788"/>
                <wp:lineTo x="21361" y="6373"/>
                <wp:lineTo x="21467" y="5126"/>
                <wp:lineTo x="17748" y="4572"/>
                <wp:lineTo x="17641" y="3048"/>
                <wp:lineTo x="17323" y="2355"/>
                <wp:lineTo x="10308" y="139"/>
                <wp:lineTo x="956" y="139"/>
              </wp:wrapPolygon>
            </wp:wrapTight>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6"/>
                    <a:stretch>
                      <a:fillRect/>
                    </a:stretch>
                  </pic:blipFill>
                  <pic:spPr>
                    <a:xfrm>
                      <a:off x="0" y="0"/>
                      <a:ext cx="3097530" cy="2376170"/>
                    </a:xfrm>
                    <a:prstGeom prst="rect">
                      <a:avLst/>
                    </a:prstGeom>
                    <a:noFill/>
                    <a:ln w="9525">
                      <a:noFill/>
                    </a:ln>
                  </pic:spPr>
                </pic:pic>
              </a:graphicData>
            </a:graphic>
          </wp:anchor>
        </w:drawing>
      </w:r>
    </w:p>
    <w:p w14:paraId="2672C93F">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13C13B7B">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2FC85B21">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61AB2305">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1595A1EB">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5FEEAE8F">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00FDD03B">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0658E754">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3E61E5E0">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41B7AD82">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52B6964C">
      <w:pPr>
        <w:keepNext w:val="0"/>
        <w:keepLines w:val="0"/>
        <w:widowControl/>
        <w:suppressLineNumbers w:val="0"/>
        <w:jc w:val="left"/>
        <w:rPr>
          <w:rFonts w:hint="default" w:ascii="Times New Roman" w:hAnsi="Times New Roman" w:eastAsia="Times New Roman" w:cs="Times New Roman"/>
          <w:i w:val="0"/>
          <w:iCs w:val="0"/>
          <w:sz w:val="20"/>
          <w:szCs w:val="20"/>
          <w:lang w:val="en-IN"/>
        </w:rPr>
      </w:pPr>
    </w:p>
    <w:p w14:paraId="4B2E1609">
      <w:pPr>
        <w:pStyle w:val="99"/>
        <w:spacing w:line="259" w:lineRule="auto"/>
        <w:ind w:firstLine="1104" w:firstLineChars="550"/>
        <w:jc w:val="both"/>
        <w:rPr>
          <w:rFonts w:hint="default" w:ascii="Times New Roman" w:hAnsi="Times New Roman" w:eastAsia="Times New Roman" w:cs="Times New Roman"/>
          <w:i w:val="0"/>
          <w:iCs w:val="0"/>
          <w:sz w:val="20"/>
          <w:szCs w:val="20"/>
          <w:lang w:val="en-IN"/>
        </w:rPr>
      </w:pPr>
      <w:bookmarkStart w:id="8" w:name="_GoBack"/>
      <w:bookmarkEnd w:id="8"/>
      <w:r>
        <w:rPr>
          <w:rFonts w:hint="default" w:ascii="Times New Roman" w:hAnsi="Times New Roman" w:eastAsia="SimSun" w:cs="Times New Roman"/>
          <w:b/>
          <w:bCs/>
          <w:lang w:val="en-US" w:eastAsia="zh-CN" w:bidi="ar-SA"/>
        </w:rPr>
        <w:t>Figure 2.</w:t>
      </w:r>
      <w:r>
        <w:rPr>
          <w:rFonts w:hint="default" w:ascii="Times New Roman" w:hAnsi="Times New Roman" w:cs="Times New Roman"/>
          <w:b/>
          <w:bCs/>
          <w:lang w:val="en-IN" w:eastAsia="zh-CN" w:bidi="ar-SA"/>
        </w:rPr>
        <w:t>2</w:t>
      </w:r>
      <w:r>
        <w:rPr>
          <w:rFonts w:hint="default" w:ascii="Times New Roman" w:hAnsi="Times New Roman" w:eastAsia="SimSun" w:cs="Times New Roman"/>
          <w:b/>
          <w:bCs/>
          <w:lang w:val="en-US" w:eastAsia="zh-CN" w:bidi="ar-SA"/>
        </w:rPr>
        <w:t xml:space="preserve"> </w:t>
      </w:r>
      <w:r>
        <w:rPr>
          <w:rFonts w:hint="default" w:ascii="Times New Roman" w:hAnsi="Times New Roman" w:eastAsia="SimSun" w:cs="Times New Roman"/>
          <w:b/>
          <w:bCs/>
          <w:lang w:val="en-IN" w:eastAsia="zh-CN" w:bidi="ar-SA"/>
        </w:rPr>
        <w:t xml:space="preserve">Mobility Class based </w:t>
      </w:r>
      <w:r>
        <w:rPr>
          <w:rFonts w:hint="default" w:ascii="Times New Roman" w:hAnsi="Times New Roman" w:cs="Times New Roman"/>
          <w:b/>
          <w:bCs/>
          <w:lang w:val="en-IN" w:eastAsia="zh-CN" w:bidi="ar-SA"/>
        </w:rPr>
        <w:t>Prediction Window</w:t>
      </w:r>
    </w:p>
    <w:p w14:paraId="0CF7D532">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The network may indicate a mobility class as part of the inference configuration for intra-frequency temporal domain Case A (e.g., low, medium, or high mobility).</w:t>
      </w:r>
    </w:p>
    <w:p w14:paraId="0EB12804">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3: The configured mobility class may be associated with constraints on the Prediction Window configuration (PW length range, Maximum prediction horizon, reporting density within the PW etc) are further study.</w:t>
      </w:r>
    </w:p>
    <w:p w14:paraId="41613690">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2.3 </w:t>
      </w:r>
      <w:r>
        <w:rPr>
          <w:rFonts w:ascii="Times New Roman" w:hAnsi="Times New Roman" w:eastAsia="Times New Roman" w:cs="Times New Roman"/>
          <w:i w:val="0"/>
          <w:iCs w:val="0"/>
          <w:lang w:val="en-IN" w:eastAsia="zh-CN"/>
        </w:rPr>
        <w:t>Inference Configuration for Temporal Domain Case B:</w:t>
      </w:r>
      <w:r>
        <w:rPr>
          <w:rFonts w:hint="default" w:ascii="Times New Roman" w:hAnsi="Times New Roman" w:cs="Times New Roman"/>
          <w:lang w:val="en-IN" w:eastAsia="zh-CN"/>
        </w:rPr>
        <w:t xml:space="preserve"> </w:t>
      </w:r>
    </w:p>
    <w:p w14:paraId="04E1B4B8">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r>
        <w:rPr>
          <w:rFonts w:hint="default" w:ascii="Times New Roman" w:hAnsi="Times New Roman" w:cs="Times New Roman"/>
          <w:b/>
          <w:bCs/>
          <w:lang w:val="en-IN" w:eastAsia="zh-CN"/>
        </w:rPr>
        <w:t>Observation:</w:t>
      </w:r>
      <w:r>
        <w:rPr>
          <w:rFonts w:ascii="Times New Roman" w:hAnsi="Times New Roman" w:eastAsia="Times New Roman" w:cs="Times New Roman"/>
          <w:b/>
          <w:bCs/>
          <w:i w:val="0"/>
          <w:iCs w:val="0"/>
          <w:color w:val="auto"/>
          <w:sz w:val="20"/>
          <w:szCs w:val="20"/>
          <w:lang w:val="en-US" w:eastAsia="zh-CN" w:bidi="ar-SA"/>
        </w:rPr>
        <w:t xml:space="preserve"> </w:t>
      </w:r>
      <w:r>
        <w:rPr>
          <w:rFonts w:ascii="Times New Roman" w:hAnsi="Times New Roman" w:eastAsia="Times New Roman" w:cs="Times New Roman"/>
          <w:i w:val="0"/>
          <w:iCs w:val="0"/>
          <w:color w:val="auto"/>
          <w:sz w:val="20"/>
          <w:szCs w:val="20"/>
          <w:lang w:val="en-US" w:eastAsia="zh-CN" w:bidi="ar-SA"/>
        </w:rPr>
        <w:t>Temporal domain Case B is an intra-frequency, intra-cell inference scenario targeting measurement reduction by allowing the UE to predict measurement results for certain measurement instances while performing actual measurements for others. To support this behavior, the inference configuration needs to include timing information related to the network’s SSB configuration, while not mandating the exact timing for the UE to perform or skip measurements.</w:t>
      </w:r>
    </w:p>
    <w:p w14:paraId="5CD62A6A">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r>
        <w:rPr>
          <w:rFonts w:ascii="Times New Roman" w:hAnsi="Times New Roman" w:eastAsia="Times New Roman" w:cs="Times New Roman"/>
          <w:b/>
          <w:bCs/>
          <w:i w:val="0"/>
          <w:iCs w:val="0"/>
          <w:color w:val="auto"/>
          <w:sz w:val="20"/>
          <w:szCs w:val="20"/>
          <w:lang w:val="en-US" w:eastAsia="zh-CN" w:bidi="ar-SA"/>
        </w:rPr>
        <w:t>Mobility-class-based SSB timing applicability</w:t>
      </w:r>
      <w:r>
        <w:rPr>
          <w:rFonts w:hint="default" w:ascii="Times New Roman" w:hAnsi="Times New Roman" w:eastAsia="Times New Roman" w:cs="Times New Roman"/>
          <w:b/>
          <w:bCs/>
          <w:i w:val="0"/>
          <w:iCs w:val="0"/>
          <w:color w:val="auto"/>
          <w:sz w:val="20"/>
          <w:szCs w:val="20"/>
          <w:lang w:val="en-IN" w:eastAsia="zh-CN" w:bidi="ar-SA"/>
        </w:rPr>
        <w:t>:</w:t>
      </w:r>
    </w:p>
    <w:p w14:paraId="6713AED8">
      <w:pPr>
        <w:spacing w:before="240" w:beforeAutospacing="0" w:after="240" w:afterAutospacing="0"/>
        <w:jc w:val="both"/>
        <w:rPr>
          <w:rFonts w:hint="default" w:ascii="Times New Roman" w:hAnsi="Times New Roman" w:eastAsia="Times New Roman" w:cs="Times New Roman"/>
          <w:i w:val="0"/>
          <w:iCs w:val="0"/>
          <w:color w:val="auto"/>
          <w:sz w:val="20"/>
          <w:szCs w:val="20"/>
          <w:lang w:val="en-IN" w:eastAsia="zh-CN" w:bidi="ar-SA"/>
        </w:rPr>
      </w:pPr>
      <w:r>
        <w:rPr>
          <w:rFonts w:ascii="Times New Roman" w:hAnsi="Times New Roman" w:eastAsia="Times New Roman" w:cs="Times New Roman"/>
          <w:i w:val="0"/>
          <w:iCs w:val="0"/>
          <w:color w:val="auto"/>
          <w:sz w:val="20"/>
          <w:szCs w:val="20"/>
          <w:lang w:val="en-US" w:eastAsia="zh-CN" w:bidi="ar-SA"/>
        </w:rPr>
        <w:t>The applicability and effectiveness of inference-based measurement reduction in Case B depend on the alignment between SSB timing, measurement delay requirements, and UE mobility characteristics. A single static SSB timing configuration may not be efficient across diverse mobility scenarios. For example, low-mobility scenarios can tolerate longer intervals between actual measurements, while high-mobility scenarios may require more frequent actual measurements to meet measurement delay requirements.</w:t>
      </w:r>
      <w:r>
        <w:rPr>
          <w:rFonts w:hint="default" w:ascii="Times New Roman" w:hAnsi="Times New Roman" w:eastAsia="Times New Roman" w:cs="Times New Roman"/>
          <w:i w:val="0"/>
          <w:iCs w:val="0"/>
          <w:color w:val="auto"/>
          <w:sz w:val="20"/>
          <w:szCs w:val="20"/>
          <w:lang w:val="en-IN" w:eastAsia="zh-CN" w:bidi="ar-SA"/>
        </w:rPr>
        <w:t xml:space="preserve"> The mobility class based SSB timing variations is shown in Fig 2.3. </w:t>
      </w:r>
    </w:p>
    <w:p w14:paraId="1EE71BF2">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r>
        <w:rPr>
          <w:rFonts w:ascii="Times New Roman" w:hAnsi="Times New Roman" w:eastAsia="Times New Roman" w:cs="Times New Roman"/>
          <w:i w:val="0"/>
          <w:iCs w:val="0"/>
          <w:color w:val="auto"/>
          <w:sz w:val="20"/>
          <w:szCs w:val="20"/>
          <w:lang w:val="en-US" w:eastAsia="zh-CN" w:bidi="ar-SA"/>
        </w:rPr>
        <w:t>Mobility-aware adaptation of measurement-related timing behavior is consistent with legacy RRM principles and mobility robustness optimization.</w:t>
      </w:r>
    </w:p>
    <w:p w14:paraId="3BB6D7B6">
      <w:pPr>
        <w:keepNext w:val="0"/>
        <w:keepLines w:val="0"/>
        <w:widowControl/>
        <w:suppressLineNumbers w:val="0"/>
        <w:jc w:val="left"/>
      </w:pPr>
      <w:r>
        <w:rPr>
          <w:rFonts w:ascii="SimSun" w:hAnsi="SimSun" w:eastAsia="SimSun" w:cs="SimSun"/>
          <w:kern w:val="0"/>
          <w:sz w:val="24"/>
          <w:szCs w:val="24"/>
          <w:lang w:val="en-US" w:eastAsia="zh-CN" w:bidi="ar"/>
        </w:rPr>
        <w:drawing>
          <wp:anchor distT="0" distB="0" distL="114300" distR="114300" simplePos="0" relativeHeight="251660288" behindDoc="1" locked="0" layoutInCell="1" allowOverlap="1">
            <wp:simplePos x="0" y="0"/>
            <wp:positionH relativeFrom="column">
              <wp:posOffset>1090930</wp:posOffset>
            </wp:positionH>
            <wp:positionV relativeFrom="paragraph">
              <wp:posOffset>20320</wp:posOffset>
            </wp:positionV>
            <wp:extent cx="3457575" cy="2765425"/>
            <wp:effectExtent l="0" t="0" r="1905" b="0"/>
            <wp:wrapTight wrapText="bothSides">
              <wp:wrapPolygon>
                <wp:start x="0" y="357"/>
                <wp:lineTo x="0" y="1071"/>
                <wp:lineTo x="381" y="2262"/>
                <wp:lineTo x="381" y="5833"/>
                <wp:lineTo x="0" y="6071"/>
                <wp:lineTo x="0" y="8213"/>
                <wp:lineTo x="381" y="9880"/>
                <wp:lineTo x="381" y="13689"/>
                <wp:lineTo x="0" y="14403"/>
                <wp:lineTo x="0" y="14998"/>
                <wp:lineTo x="10758" y="15594"/>
                <wp:lineTo x="762" y="15594"/>
                <wp:lineTo x="381" y="15713"/>
                <wp:lineTo x="476" y="21188"/>
                <wp:lineTo x="3142" y="21188"/>
                <wp:lineTo x="21231" y="20355"/>
                <wp:lineTo x="21517" y="19879"/>
                <wp:lineTo x="19232" y="19403"/>
                <wp:lineTo x="19422" y="15713"/>
                <wp:lineTo x="18660" y="15594"/>
                <wp:lineTo x="10758" y="15594"/>
                <wp:lineTo x="15233" y="14998"/>
                <wp:lineTo x="15043" y="14284"/>
                <wp:lineTo x="3047" y="13689"/>
                <wp:lineTo x="21326" y="13094"/>
                <wp:lineTo x="21421" y="12618"/>
                <wp:lineTo x="15804" y="11785"/>
                <wp:lineTo x="15900" y="9880"/>
                <wp:lineTo x="18470" y="8094"/>
                <wp:lineTo x="18660" y="7618"/>
                <wp:lineTo x="10758" y="6071"/>
                <wp:lineTo x="21231" y="5952"/>
                <wp:lineTo x="21421" y="5714"/>
                <wp:lineTo x="19232" y="4166"/>
                <wp:lineTo x="19422" y="1547"/>
                <wp:lineTo x="18946" y="1309"/>
                <wp:lineTo x="14947" y="357"/>
                <wp:lineTo x="0" y="357"/>
              </wp:wrapPolygon>
            </wp:wrapTight>
            <wp:docPr id="4"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G_256"/>
                    <pic:cNvPicPr>
                      <a:picLocks noChangeAspect="1"/>
                    </pic:cNvPicPr>
                  </pic:nvPicPr>
                  <pic:blipFill>
                    <a:blip r:embed="rId7"/>
                    <a:stretch>
                      <a:fillRect/>
                    </a:stretch>
                  </pic:blipFill>
                  <pic:spPr>
                    <a:xfrm>
                      <a:off x="0" y="0"/>
                      <a:ext cx="3457575" cy="2765425"/>
                    </a:xfrm>
                    <a:prstGeom prst="rect">
                      <a:avLst/>
                    </a:prstGeom>
                    <a:noFill/>
                    <a:ln w="9525">
                      <a:noFill/>
                    </a:ln>
                  </pic:spPr>
                </pic:pic>
              </a:graphicData>
            </a:graphic>
          </wp:anchor>
        </w:drawing>
      </w:r>
    </w:p>
    <w:p w14:paraId="41C1D172">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50E0D456">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35F01983">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04C65D0E">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082E6BDA">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3AC86476">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595DF2D5">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7A0B29D4">
      <w:pPr>
        <w:spacing w:before="240" w:beforeAutospacing="0" w:after="240" w:afterAutospacing="0"/>
        <w:jc w:val="both"/>
        <w:rPr>
          <w:rFonts w:ascii="Times New Roman" w:hAnsi="Times New Roman" w:eastAsia="Times New Roman" w:cs="Times New Roman"/>
          <w:i w:val="0"/>
          <w:iCs w:val="0"/>
          <w:color w:val="auto"/>
          <w:sz w:val="20"/>
          <w:szCs w:val="20"/>
          <w:lang w:val="en-US" w:eastAsia="zh-CN" w:bidi="ar-SA"/>
        </w:rPr>
      </w:pPr>
    </w:p>
    <w:p w14:paraId="5C327DDF">
      <w:pPr>
        <w:pStyle w:val="99"/>
        <w:spacing w:line="259" w:lineRule="auto"/>
        <w:ind w:firstLine="1104" w:firstLineChars="550"/>
        <w:jc w:val="both"/>
        <w:rPr>
          <w:rFonts w:hint="default" w:ascii="Times New Roman" w:hAnsi="Times New Roman" w:eastAsia="SimSun" w:cs="Times New Roman"/>
          <w:b/>
          <w:bCs/>
          <w:lang w:val="en-US" w:eastAsia="zh-CN" w:bidi="ar-SA"/>
        </w:rPr>
      </w:pPr>
      <w:bookmarkStart w:id="5" w:name="_Hlk200011675"/>
    </w:p>
    <w:p w14:paraId="51240AD0">
      <w:pPr>
        <w:pStyle w:val="99"/>
        <w:spacing w:line="259" w:lineRule="auto"/>
        <w:ind w:firstLine="1104" w:firstLineChars="550"/>
        <w:jc w:val="both"/>
        <w:rPr>
          <w:rFonts w:ascii="Times New Roman" w:hAnsi="Times New Roman" w:eastAsia="Times New Roman" w:cs="Times New Roman"/>
          <w:i w:val="0"/>
          <w:iCs w:val="0"/>
          <w:color w:val="auto"/>
          <w:sz w:val="20"/>
          <w:szCs w:val="20"/>
          <w:lang w:val="en-US" w:eastAsia="zh-CN" w:bidi="ar-SA"/>
        </w:rPr>
      </w:pPr>
      <w:r>
        <w:rPr>
          <w:rFonts w:hint="default" w:ascii="Times New Roman" w:hAnsi="Times New Roman" w:eastAsia="SimSun" w:cs="Times New Roman"/>
          <w:b/>
          <w:bCs/>
          <w:lang w:val="en-US" w:eastAsia="zh-CN" w:bidi="ar-SA"/>
        </w:rPr>
        <w:t>Figure 2.</w:t>
      </w:r>
      <w:r>
        <w:rPr>
          <w:rFonts w:hint="default" w:ascii="Times New Roman" w:hAnsi="Times New Roman" w:eastAsia="SimSun" w:cs="Times New Roman"/>
          <w:b/>
          <w:bCs/>
          <w:lang w:val="en-IN" w:eastAsia="zh-CN" w:bidi="ar-SA"/>
        </w:rPr>
        <w:t>3</w:t>
      </w:r>
      <w:r>
        <w:rPr>
          <w:rFonts w:hint="default" w:ascii="Times New Roman" w:hAnsi="Times New Roman" w:eastAsia="SimSun" w:cs="Times New Roman"/>
          <w:b/>
          <w:bCs/>
          <w:lang w:val="en-US" w:eastAsia="zh-CN" w:bidi="ar-SA"/>
        </w:rPr>
        <w:t xml:space="preserve"> </w:t>
      </w:r>
      <w:r>
        <w:rPr>
          <w:rFonts w:hint="default" w:ascii="Times New Roman" w:hAnsi="Times New Roman" w:eastAsia="SimSun" w:cs="Times New Roman"/>
          <w:b/>
          <w:bCs/>
          <w:lang w:val="en-IN" w:eastAsia="zh-CN" w:bidi="ar-SA"/>
        </w:rPr>
        <w:t>Mobility Class based SSB Timing applicability</w:t>
      </w:r>
      <w:bookmarkEnd w:id="5"/>
    </w:p>
    <w:p w14:paraId="589CD3F5">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ascii="Times New Roman" w:hAnsi="Times New Roman" w:eastAsia="Times New Roman" w:cs="Times New Roman"/>
          <w:b/>
          <w:bCs/>
          <w:i w:val="0"/>
          <w:iCs w:val="0"/>
          <w:color w:val="auto"/>
          <w:sz w:val="20"/>
          <w:szCs w:val="20"/>
          <w:lang w:val="en-US" w:eastAsia="zh-CN" w:bidi="ar-SA"/>
        </w:rPr>
        <w:t xml:space="preserve">Proposal </w:t>
      </w:r>
      <w:r>
        <w:rPr>
          <w:rFonts w:hint="default" w:ascii="Times New Roman" w:hAnsi="Times New Roman" w:eastAsia="Times New Roman" w:cs="Times New Roman"/>
          <w:b/>
          <w:bCs/>
          <w:i w:val="0"/>
          <w:iCs w:val="0"/>
          <w:color w:val="auto"/>
          <w:sz w:val="20"/>
          <w:szCs w:val="20"/>
          <w:lang w:val="en-IN" w:eastAsia="zh-CN" w:bidi="ar-SA"/>
        </w:rPr>
        <w:t>4</w:t>
      </w:r>
      <w:r>
        <w:rPr>
          <w:rFonts w:ascii="Times New Roman" w:hAnsi="Times New Roman" w:eastAsia="Times New Roman" w:cs="Times New Roman"/>
          <w:b/>
          <w:bCs/>
          <w:i w:val="0"/>
          <w:iCs w:val="0"/>
          <w:color w:val="auto"/>
          <w:sz w:val="20"/>
          <w:szCs w:val="20"/>
          <w:lang w:val="en-US" w:eastAsia="zh-CN" w:bidi="ar-SA"/>
        </w:rPr>
        <w:t>: The network may associate different SSB timing configurations with different mobility classes</w:t>
      </w:r>
      <w:r>
        <w:rPr>
          <w:rFonts w:hint="default" w:ascii="Times New Roman" w:hAnsi="Times New Roman" w:eastAsia="Times New Roman" w:cs="Times New Roman"/>
          <w:b/>
          <w:bCs/>
          <w:i w:val="0"/>
          <w:iCs w:val="0"/>
          <w:color w:val="auto"/>
          <w:sz w:val="20"/>
          <w:szCs w:val="20"/>
          <w:lang w:val="en-IN" w:eastAsia="zh-CN" w:bidi="ar-SA"/>
        </w:rPr>
        <w:t xml:space="preserve"> for inference applicability purposes</w:t>
      </w:r>
      <w:r>
        <w:rPr>
          <w:rFonts w:ascii="Times New Roman" w:hAnsi="Times New Roman" w:eastAsia="Times New Roman" w:cs="Times New Roman"/>
          <w:b/>
          <w:bCs/>
          <w:i w:val="0"/>
          <w:iCs w:val="0"/>
          <w:color w:val="auto"/>
          <w:sz w:val="20"/>
          <w:szCs w:val="20"/>
          <w:lang w:val="en-US" w:eastAsia="zh-CN" w:bidi="ar-SA"/>
        </w:rPr>
        <w:t xml:space="preserve"> as part of the inference configuration for temporal domain Case B.</w:t>
      </w:r>
    </w:p>
    <w:p w14:paraId="7DB7AD58">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IN" w:eastAsia="zh-CN" w:bidi="ar-SA"/>
        </w:rPr>
        <w:t>Proposal 5 :</w:t>
      </w:r>
      <w:r>
        <w:rPr>
          <w:rFonts w:ascii="Times New Roman" w:hAnsi="Times New Roman" w:eastAsia="Times New Roman" w:cs="Times New Roman"/>
          <w:b/>
          <w:bCs/>
          <w:i w:val="0"/>
          <w:iCs w:val="0"/>
          <w:color w:val="auto"/>
          <w:sz w:val="20"/>
          <w:szCs w:val="20"/>
          <w:lang w:val="en-US" w:eastAsia="zh-CN" w:bidi="ar-SA"/>
        </w:rPr>
        <w:t>The mobility class may be used to determine the applicability of a given SSB timing configuration for inference-based measurement reduction.</w:t>
      </w:r>
    </w:p>
    <w:p w14:paraId="215A4D66">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ascii="Times New Roman" w:hAnsi="Times New Roman" w:eastAsia="Times New Roman" w:cs="Times New Roman"/>
          <w:b/>
          <w:bCs/>
          <w:i w:val="0"/>
          <w:iCs w:val="0"/>
          <w:color w:val="auto"/>
          <w:sz w:val="20"/>
          <w:szCs w:val="20"/>
          <w:lang w:val="en-US" w:eastAsia="zh-CN" w:bidi="ar-SA"/>
        </w:rPr>
        <w:t>Reuse of existing S</w:t>
      </w:r>
      <w:r>
        <w:rPr>
          <w:rFonts w:hint="default" w:ascii="Times New Roman" w:hAnsi="Times New Roman" w:eastAsia="Times New Roman" w:cs="Times New Roman"/>
          <w:b/>
          <w:bCs/>
          <w:i w:val="0"/>
          <w:iCs w:val="0"/>
          <w:color w:val="auto"/>
          <w:sz w:val="20"/>
          <w:szCs w:val="20"/>
          <w:lang w:val="en-IN" w:eastAsia="zh-CN" w:bidi="ar-SA"/>
        </w:rPr>
        <w:t>MTC</w:t>
      </w:r>
      <w:r>
        <w:rPr>
          <w:rFonts w:ascii="Times New Roman" w:hAnsi="Times New Roman" w:eastAsia="Times New Roman" w:cs="Times New Roman"/>
          <w:b/>
          <w:bCs/>
          <w:i w:val="0"/>
          <w:iCs w:val="0"/>
          <w:color w:val="auto"/>
          <w:sz w:val="20"/>
          <w:szCs w:val="20"/>
          <w:lang w:val="en-US" w:eastAsia="zh-CN" w:bidi="ar-SA"/>
        </w:rPr>
        <w:t xml:space="preserve"> framework</w:t>
      </w:r>
      <w:r>
        <w:rPr>
          <w:rFonts w:hint="default" w:ascii="Times New Roman" w:hAnsi="Times New Roman" w:eastAsia="Times New Roman" w:cs="Times New Roman"/>
          <w:b/>
          <w:bCs/>
          <w:i w:val="0"/>
          <w:iCs w:val="0"/>
          <w:color w:val="auto"/>
          <w:sz w:val="20"/>
          <w:szCs w:val="20"/>
          <w:lang w:val="en-IN" w:eastAsia="zh-CN" w:bidi="ar-SA"/>
        </w:rPr>
        <w:t>:</w:t>
      </w:r>
    </w:p>
    <w:p w14:paraId="74209241">
      <w:pPr>
        <w:spacing w:before="240" w:beforeAutospacing="0" w:after="240" w:afterAutospacing="0"/>
        <w:jc w:val="both"/>
        <w:rPr>
          <w:rFonts w:hint="default" w:ascii="Times New Roman" w:hAnsi="Times New Roman" w:eastAsia="Times New Roman" w:cs="Times New Roman"/>
          <w:i w:val="0"/>
          <w:iCs w:val="0"/>
          <w:color w:val="auto"/>
          <w:sz w:val="20"/>
          <w:szCs w:val="20"/>
          <w:lang w:val="en-IN" w:eastAsia="zh-CN" w:bidi="ar-SA"/>
        </w:rPr>
      </w:pPr>
      <w:r>
        <w:rPr>
          <w:rFonts w:hint="default" w:ascii="Times New Roman" w:hAnsi="Times New Roman" w:eastAsia="Times New Roman" w:cs="Times New Roman"/>
          <w:b/>
          <w:bCs/>
          <w:i w:val="0"/>
          <w:iCs w:val="0"/>
          <w:color w:val="auto"/>
          <w:sz w:val="20"/>
          <w:szCs w:val="20"/>
          <w:lang w:val="en-IN" w:eastAsia="zh-CN" w:bidi="ar-SA"/>
        </w:rPr>
        <w:t xml:space="preserve">Observation: </w:t>
      </w:r>
      <w:r>
        <w:rPr>
          <w:rFonts w:hint="default" w:ascii="Times New Roman" w:hAnsi="Times New Roman" w:eastAsia="Times New Roman" w:cs="Times New Roman"/>
          <w:i w:val="0"/>
          <w:iCs w:val="0"/>
          <w:color w:val="auto"/>
          <w:sz w:val="20"/>
          <w:szCs w:val="20"/>
          <w:lang w:val="en-US" w:eastAsia="zh-CN" w:bidi="ar-SA"/>
        </w:rPr>
        <w:t>The existing SMTC framework provides a suitable foundation for conveying SSB timing information to the UE in temporal domain Case B. SMTC already defines configurable measurement windows with periodicity and duration parameters that inform the UE about when SSBs are available for measurement without strictly dictating measurement behavior. By extending or reusing SMTC principles for Case B inference configuration, the network can signal SSB timing patterns while allowing the UE implementation flexibility to determine which measurement instances to predict versus actually measure based on model confidence and mobility state. This approach maintains consistency with the legacy RRM measurement framework while enabling AI/ML-based measurement optimization. </w:t>
      </w:r>
    </w:p>
    <w:p w14:paraId="6C7F0A0C">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ascii="Times New Roman" w:hAnsi="Times New Roman" w:eastAsia="Times New Roman" w:cs="Times New Roman"/>
          <w:b/>
          <w:bCs/>
          <w:i w:val="0"/>
          <w:iCs w:val="0"/>
          <w:color w:val="auto"/>
          <w:sz w:val="20"/>
          <w:szCs w:val="20"/>
          <w:lang w:val="en-US" w:eastAsia="zh-CN" w:bidi="ar-SA"/>
        </w:rPr>
        <w:t xml:space="preserve">Proposal </w:t>
      </w:r>
      <w:r>
        <w:rPr>
          <w:rFonts w:hint="default" w:ascii="Times New Roman" w:hAnsi="Times New Roman" w:eastAsia="Times New Roman" w:cs="Times New Roman"/>
          <w:b/>
          <w:bCs/>
          <w:i w:val="0"/>
          <w:iCs w:val="0"/>
          <w:color w:val="auto"/>
          <w:sz w:val="20"/>
          <w:szCs w:val="20"/>
          <w:lang w:val="en-IN" w:eastAsia="zh-CN" w:bidi="ar-SA"/>
        </w:rPr>
        <w:t>6</w:t>
      </w:r>
      <w:r>
        <w:rPr>
          <w:rFonts w:ascii="Times New Roman" w:hAnsi="Times New Roman" w:eastAsia="Times New Roman" w:cs="Times New Roman"/>
          <w:b/>
          <w:bCs/>
          <w:i w:val="0"/>
          <w:iCs w:val="0"/>
          <w:color w:val="auto"/>
          <w:sz w:val="20"/>
          <w:szCs w:val="20"/>
          <w:lang w:val="en-US" w:eastAsia="zh-CN" w:bidi="ar-SA"/>
        </w:rPr>
        <w:t>: The SSB timing configurations associated with mobility classes reuse the existing SMTC framework and are configured at the network side as part of inference configuration.</w:t>
      </w:r>
    </w:p>
    <w:p w14:paraId="667F29FE">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IN" w:eastAsia="zh-CN" w:bidi="ar-SA"/>
        </w:rPr>
        <w:t xml:space="preserve">Proposal 7: </w:t>
      </w:r>
      <w:r>
        <w:rPr>
          <w:rFonts w:ascii="Times New Roman" w:hAnsi="Times New Roman" w:eastAsia="Times New Roman" w:cs="Times New Roman"/>
          <w:b/>
          <w:bCs/>
          <w:i w:val="0"/>
          <w:iCs w:val="0"/>
          <w:color w:val="auto"/>
          <w:sz w:val="20"/>
          <w:szCs w:val="20"/>
          <w:lang w:val="en-US" w:eastAsia="zh-CN" w:bidi="ar-SA"/>
        </w:rPr>
        <w:t>The applicability of a given SSB timing configuration for inference-based measurement reduction is determined by the network or inference logic and does not mandate per-UE SSB scheduling, per-UE SSB transmission timing, or new SSB transmission formats.</w:t>
      </w:r>
      <w:r>
        <w:rPr>
          <w:rFonts w:hint="default" w:ascii="Times New Roman" w:hAnsi="Times New Roman" w:eastAsia="Times New Roman" w:cs="Times New Roman"/>
          <w:b/>
          <w:bCs/>
          <w:i w:val="0"/>
          <w:iCs w:val="0"/>
          <w:color w:val="auto"/>
          <w:sz w:val="20"/>
          <w:szCs w:val="20"/>
          <w:lang w:val="en-IN" w:eastAsia="zh-CN" w:bidi="ar-SA"/>
        </w:rPr>
        <w:t xml:space="preserve"> </w:t>
      </w:r>
      <w:r>
        <w:rPr>
          <w:rFonts w:ascii="Times New Roman" w:hAnsi="Times New Roman" w:eastAsia="Times New Roman" w:cs="Times New Roman"/>
          <w:b/>
          <w:bCs/>
          <w:i w:val="0"/>
          <w:iCs w:val="0"/>
          <w:color w:val="auto"/>
          <w:sz w:val="20"/>
          <w:szCs w:val="20"/>
          <w:lang w:val="en-US" w:eastAsia="zh-CN" w:bidi="ar-SA"/>
        </w:rPr>
        <w:t>Legacy UEs are not impacted.</w:t>
      </w:r>
    </w:p>
    <w:p w14:paraId="2257E8DF">
      <w:pPr>
        <w:spacing w:before="240" w:beforeAutospacing="0" w:after="240" w:afterAutospacing="0"/>
        <w:jc w:val="both"/>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8: For temporal domain intra-cell Case B, at a minimum, the following parameters should be configured: </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 • Maximum allowed MRRT </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 Cells to be predicted (selected cells in the measurement object used as input) </w:t>
      </w:r>
    </w:p>
    <w:p w14:paraId="5573B8E2">
      <w:pPr>
        <w:spacing w:before="240" w:beforeAutospacing="0" w:after="240" w:afterAutospacing="0"/>
        <w:jc w:val="both"/>
        <w:rPr>
          <w:rFonts w:hint="default" w:ascii="Times New Roman" w:hAnsi="Times New Roman" w:cs="Times New Roman"/>
          <w:b/>
          <w:bCs/>
          <w:lang w:val="en-IN" w:eastAsia="zh-CN"/>
        </w:rPr>
      </w:pPr>
    </w:p>
    <w:p w14:paraId="2BDAE6F5">
      <w:pPr>
        <w:spacing w:before="240" w:beforeAutospacing="0" w:after="240" w:afterAutospacing="0"/>
        <w:jc w:val="both"/>
        <w:rPr>
          <w:rFonts w:hint="default" w:ascii="Times New Roman" w:hAnsi="Times New Roman" w:cs="Times New Roman"/>
          <w:b/>
          <w:bCs/>
          <w:lang w:val="en-IN" w:eastAsia="zh-CN"/>
        </w:rPr>
      </w:pPr>
    </w:p>
    <w:p w14:paraId="4754F790">
      <w:pPr>
        <w:pStyle w:val="2"/>
        <w:numPr>
          <w:ilvl w:val="0"/>
          <w:numId w:val="0"/>
        </w:numPr>
        <w:ind w:leftChars="0"/>
        <w:rPr>
          <w:rFonts w:hint="default" w:ascii="Times New Roman" w:hAnsi="Times New Roman" w:eastAsia="Malgun Gothic" w:cs="Times New Roman"/>
          <w:lang w:eastAsia="ko-KR"/>
        </w:rPr>
      </w:pPr>
      <w:r>
        <w:rPr>
          <w:rFonts w:hint="default" w:ascii="Times New Roman" w:hAnsi="Times New Roman" w:eastAsia="Malgun Gothic" w:cs="Times New Roman"/>
          <w:lang w:val="en-IN" w:eastAsia="ko-KR"/>
        </w:rPr>
        <w:t xml:space="preserve">3 </w:t>
      </w:r>
      <w:r>
        <w:rPr>
          <w:rFonts w:hint="default" w:ascii="Times New Roman" w:hAnsi="Times New Roman" w:eastAsia="Malgun Gothic" w:cs="Times New Roman"/>
          <w:lang w:eastAsia="ko-KR"/>
        </w:rPr>
        <w:t>Conclusion</w:t>
      </w:r>
    </w:p>
    <w:p w14:paraId="2D0DCF87">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In this</w:t>
      </w:r>
      <w:r>
        <w:rPr>
          <w:rFonts w:hint="default" w:ascii="Times New Roman" w:hAnsi="Times New Roman" w:eastAsia="굴림" w:cs="Times New Roman"/>
          <w:lang w:val="en-IN" w:eastAsia="ko-KR"/>
        </w:rPr>
        <w:t xml:space="preserve"> contribution, we focused on RAN2 functional framework aspects of LCM aligned with the approved Rel-20 WI scope.</w:t>
      </w:r>
    </w:p>
    <w:p w14:paraId="0737663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Associate ID</w:t>
      </w:r>
    </w:p>
    <w:p w14:paraId="3D219D3C">
      <w:pPr>
        <w:rPr>
          <w:rFonts w:hint="default" w:ascii="Times New Roman" w:hAnsi="Times New Roman" w:eastAsia="SimSun" w:cs="Times New Roman"/>
          <w:b/>
          <w:bCs/>
          <w:sz w:val="20"/>
          <w:szCs w:val="20"/>
          <w:lang w:val="en-US" w:eastAsia="zh-CN" w:bidi="ar-SA"/>
        </w:rPr>
      </w:pPr>
      <w:r>
        <w:rPr>
          <w:rFonts w:hint="default" w:ascii="Times New Roman" w:hAnsi="Times New Roman" w:eastAsia="SimSun" w:cs="Times New Roman"/>
          <w:b/>
          <w:bCs/>
          <w:sz w:val="20"/>
          <w:szCs w:val="20"/>
          <w:lang w:val="en-US" w:eastAsia="zh-CN" w:bidi="ar-SA"/>
        </w:rPr>
        <w:t>Proposal 1: For AI/ML mobility use cases with generalized models, the necessity of associated ID should be further evaluated. UE implementation-based consistency verification mechanisms are sufficient to ensure alignment between training and inference conditions.</w:t>
      </w:r>
    </w:p>
    <w:p w14:paraId="074265C7">
      <w:p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IN" w:eastAsia="zh-CN"/>
        </w:rPr>
        <w:t>Inference Configuration for Temporal Domain Case A</w:t>
      </w:r>
    </w:p>
    <w:p w14:paraId="200AD02A">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The network may indicate a mobility class as part of the inference configuration for intra-frequency temporal domain Case A (e.g., low, medium, or high mobility).</w:t>
      </w:r>
    </w:p>
    <w:p w14:paraId="666C9D3C">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3: The configured mobility class may be associated with constraints on the Prediction Window configuration (PW length range, Maximum prediction horizon, reporting density within the PW etc) are further study.</w:t>
      </w:r>
    </w:p>
    <w:p w14:paraId="489966B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 xml:space="preserve">Inference Configuration for Temporal Domain Case B: </w:t>
      </w:r>
    </w:p>
    <w:p w14:paraId="34287DEB">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ascii="Times New Roman" w:hAnsi="Times New Roman" w:eastAsia="Times New Roman" w:cs="Times New Roman"/>
          <w:b/>
          <w:bCs/>
          <w:i w:val="0"/>
          <w:iCs w:val="0"/>
          <w:color w:val="auto"/>
          <w:sz w:val="20"/>
          <w:szCs w:val="20"/>
          <w:lang w:val="en-US" w:eastAsia="zh-CN" w:bidi="ar-SA"/>
        </w:rPr>
        <w:t xml:space="preserve">Proposal </w:t>
      </w:r>
      <w:r>
        <w:rPr>
          <w:rFonts w:hint="default" w:ascii="Times New Roman" w:hAnsi="Times New Roman" w:eastAsia="Times New Roman" w:cs="Times New Roman"/>
          <w:b/>
          <w:bCs/>
          <w:i w:val="0"/>
          <w:iCs w:val="0"/>
          <w:color w:val="auto"/>
          <w:sz w:val="20"/>
          <w:szCs w:val="20"/>
          <w:lang w:val="en-IN" w:eastAsia="zh-CN" w:bidi="ar-SA"/>
        </w:rPr>
        <w:t>4</w:t>
      </w:r>
      <w:r>
        <w:rPr>
          <w:rFonts w:ascii="Times New Roman" w:hAnsi="Times New Roman" w:eastAsia="Times New Roman" w:cs="Times New Roman"/>
          <w:b/>
          <w:bCs/>
          <w:i w:val="0"/>
          <w:iCs w:val="0"/>
          <w:color w:val="auto"/>
          <w:sz w:val="20"/>
          <w:szCs w:val="20"/>
          <w:lang w:val="en-US" w:eastAsia="zh-CN" w:bidi="ar-SA"/>
        </w:rPr>
        <w:t>: The network may associate different SSB timing configurations with different mobility classes</w:t>
      </w:r>
      <w:r>
        <w:rPr>
          <w:rFonts w:hint="default" w:ascii="Times New Roman" w:hAnsi="Times New Roman" w:eastAsia="Times New Roman" w:cs="Times New Roman"/>
          <w:b/>
          <w:bCs/>
          <w:i w:val="0"/>
          <w:iCs w:val="0"/>
          <w:color w:val="auto"/>
          <w:sz w:val="20"/>
          <w:szCs w:val="20"/>
          <w:lang w:val="en-IN" w:eastAsia="zh-CN" w:bidi="ar-SA"/>
        </w:rPr>
        <w:t xml:space="preserve"> for inference applicability purposes</w:t>
      </w:r>
      <w:r>
        <w:rPr>
          <w:rFonts w:ascii="Times New Roman" w:hAnsi="Times New Roman" w:eastAsia="Times New Roman" w:cs="Times New Roman"/>
          <w:b/>
          <w:bCs/>
          <w:i w:val="0"/>
          <w:iCs w:val="0"/>
          <w:color w:val="auto"/>
          <w:sz w:val="20"/>
          <w:szCs w:val="20"/>
          <w:lang w:val="en-US" w:eastAsia="zh-CN" w:bidi="ar-SA"/>
        </w:rPr>
        <w:t xml:space="preserve"> as part of the inference configuration for temporal domain Case B.</w:t>
      </w:r>
    </w:p>
    <w:p w14:paraId="7A495243">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IN" w:eastAsia="zh-CN" w:bidi="ar-SA"/>
        </w:rPr>
        <w:t>Proposal 5 :</w:t>
      </w:r>
      <w:r>
        <w:rPr>
          <w:rFonts w:ascii="Times New Roman" w:hAnsi="Times New Roman" w:eastAsia="Times New Roman" w:cs="Times New Roman"/>
          <w:b/>
          <w:bCs/>
          <w:i w:val="0"/>
          <w:iCs w:val="0"/>
          <w:color w:val="auto"/>
          <w:sz w:val="20"/>
          <w:szCs w:val="20"/>
          <w:lang w:val="en-US" w:eastAsia="zh-CN" w:bidi="ar-SA"/>
        </w:rPr>
        <w:t>The mobility class may be used to determine the applicability of a given SSB timing configuration for inference-based measurement reduction.</w:t>
      </w:r>
    </w:p>
    <w:p w14:paraId="27E23F81">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ascii="Times New Roman" w:hAnsi="Times New Roman" w:eastAsia="Times New Roman" w:cs="Times New Roman"/>
          <w:b/>
          <w:bCs/>
          <w:i w:val="0"/>
          <w:iCs w:val="0"/>
          <w:color w:val="auto"/>
          <w:sz w:val="20"/>
          <w:szCs w:val="20"/>
          <w:lang w:val="en-US" w:eastAsia="zh-CN" w:bidi="ar-SA"/>
        </w:rPr>
        <w:t xml:space="preserve">Proposal </w:t>
      </w:r>
      <w:r>
        <w:rPr>
          <w:rFonts w:hint="default" w:ascii="Times New Roman" w:hAnsi="Times New Roman" w:eastAsia="Times New Roman" w:cs="Times New Roman"/>
          <w:b/>
          <w:bCs/>
          <w:i w:val="0"/>
          <w:iCs w:val="0"/>
          <w:color w:val="auto"/>
          <w:sz w:val="20"/>
          <w:szCs w:val="20"/>
          <w:lang w:val="en-IN" w:eastAsia="zh-CN" w:bidi="ar-SA"/>
        </w:rPr>
        <w:t>6</w:t>
      </w:r>
      <w:r>
        <w:rPr>
          <w:rFonts w:ascii="Times New Roman" w:hAnsi="Times New Roman" w:eastAsia="Times New Roman" w:cs="Times New Roman"/>
          <w:b/>
          <w:bCs/>
          <w:i w:val="0"/>
          <w:iCs w:val="0"/>
          <w:color w:val="auto"/>
          <w:sz w:val="20"/>
          <w:szCs w:val="20"/>
          <w:lang w:val="en-US" w:eastAsia="zh-CN" w:bidi="ar-SA"/>
        </w:rPr>
        <w:t>: The SSB timing configurations associated with mobility classes reuse the existing SMTC framework and are configured at the network side as part of inference configuration.</w:t>
      </w:r>
    </w:p>
    <w:p w14:paraId="4381C787">
      <w:pPr>
        <w:spacing w:before="240" w:beforeAutospacing="0" w:after="240" w:afterAutospacing="0"/>
        <w:jc w:val="both"/>
        <w:rPr>
          <w:rFonts w:ascii="Times New Roman" w:hAnsi="Times New Roman" w:eastAsia="Times New Roman" w:cs="Times New Roman"/>
          <w:b/>
          <w:bCs/>
          <w:i w:val="0"/>
          <w:iCs w:val="0"/>
          <w:color w:val="auto"/>
          <w:sz w:val="20"/>
          <w:szCs w:val="20"/>
          <w:lang w:val="en-US" w:eastAsia="zh-CN" w:bidi="ar-SA"/>
        </w:rPr>
      </w:pPr>
      <w:r>
        <w:rPr>
          <w:rFonts w:hint="default" w:ascii="Times New Roman" w:hAnsi="Times New Roman" w:eastAsia="Times New Roman" w:cs="Times New Roman"/>
          <w:b/>
          <w:bCs/>
          <w:i w:val="0"/>
          <w:iCs w:val="0"/>
          <w:color w:val="auto"/>
          <w:sz w:val="20"/>
          <w:szCs w:val="20"/>
          <w:lang w:val="en-IN" w:eastAsia="zh-CN" w:bidi="ar-SA"/>
        </w:rPr>
        <w:t xml:space="preserve">Proposal 7: </w:t>
      </w:r>
      <w:r>
        <w:rPr>
          <w:rFonts w:ascii="Times New Roman" w:hAnsi="Times New Roman" w:eastAsia="Times New Roman" w:cs="Times New Roman"/>
          <w:b/>
          <w:bCs/>
          <w:i w:val="0"/>
          <w:iCs w:val="0"/>
          <w:color w:val="auto"/>
          <w:sz w:val="20"/>
          <w:szCs w:val="20"/>
          <w:lang w:val="en-US" w:eastAsia="zh-CN" w:bidi="ar-SA"/>
        </w:rPr>
        <w:t>The applicability of a given SSB timing configuration for inference-based measurement reduction is determined by the network or inference logic and does not mandate per-UE SSB scheduling, per-UE SSB transmission timing, or new SSB transmission formats.</w:t>
      </w:r>
      <w:r>
        <w:rPr>
          <w:rFonts w:hint="default" w:ascii="Times New Roman" w:hAnsi="Times New Roman" w:eastAsia="Times New Roman" w:cs="Times New Roman"/>
          <w:b/>
          <w:bCs/>
          <w:i w:val="0"/>
          <w:iCs w:val="0"/>
          <w:color w:val="auto"/>
          <w:sz w:val="20"/>
          <w:szCs w:val="20"/>
          <w:lang w:val="en-IN" w:eastAsia="zh-CN" w:bidi="ar-SA"/>
        </w:rPr>
        <w:t xml:space="preserve"> </w:t>
      </w:r>
      <w:r>
        <w:rPr>
          <w:rFonts w:ascii="Times New Roman" w:hAnsi="Times New Roman" w:eastAsia="Times New Roman" w:cs="Times New Roman"/>
          <w:b/>
          <w:bCs/>
          <w:i w:val="0"/>
          <w:iCs w:val="0"/>
          <w:color w:val="auto"/>
          <w:sz w:val="20"/>
          <w:szCs w:val="20"/>
          <w:lang w:val="en-US" w:eastAsia="zh-CN" w:bidi="ar-SA"/>
        </w:rPr>
        <w:t>Legacy UEs are not impacted.</w:t>
      </w:r>
    </w:p>
    <w:p w14:paraId="12235BF6">
      <w:pPr>
        <w:spacing w:before="240" w:beforeAutospacing="0" w:after="240" w:afterAutospacing="0"/>
        <w:jc w:val="both"/>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8: For temporal domain intra-cell Case B, at a minimum, the following parameters should be configured: </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 • Maximum allowed MRRT </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 Cells to be predicted (selected cells in the measurement object used as input) </w:t>
      </w:r>
    </w:p>
    <w:p w14:paraId="2D860666">
      <w:pPr>
        <w:spacing w:before="240" w:beforeAutospacing="0" w:after="240" w:afterAutospacing="0"/>
        <w:jc w:val="both"/>
        <w:rPr>
          <w:rFonts w:hint="default" w:ascii="Times New Roman" w:hAnsi="Times New Roman" w:cs="Times New Roman"/>
          <w:b/>
          <w:bCs/>
          <w:lang w:val="en-IN" w:eastAsia="zh-CN"/>
        </w:rPr>
      </w:pPr>
    </w:p>
    <w:bookmarkEnd w:id="2"/>
    <w:bookmarkEnd w:id="3"/>
    <w:bookmarkEnd w:id="4"/>
    <w:p w14:paraId="5B79F849">
      <w:pPr>
        <w:pStyle w:val="2"/>
        <w:numPr>
          <w:ilvl w:val="0"/>
          <w:numId w:val="0"/>
        </w:numPr>
        <w:tabs>
          <w:tab w:val="clear" w:pos="792"/>
        </w:tabs>
        <w:ind w:leftChars="0"/>
        <w:rPr>
          <w:rFonts w:hint="default" w:ascii="Times New Roman" w:hAnsi="Times New Roman" w:cs="Times New Roman"/>
          <w:szCs w:val="20"/>
          <w:lang w:val="en-IN"/>
        </w:rPr>
      </w:pPr>
      <w:r>
        <w:rPr>
          <w:rFonts w:hint="default" w:ascii="Times New Roman" w:hAnsi="Times New Roman" w:cs="Times New Roman"/>
          <w:lang w:val="en-IN"/>
        </w:rPr>
        <w:t xml:space="preserve">4 </w:t>
      </w:r>
      <w:r>
        <w:rPr>
          <w:rFonts w:hint="default" w:ascii="Times New Roman" w:hAnsi="Times New Roman" w:cs="Times New Roman"/>
        </w:rPr>
        <w:t>References</w:t>
      </w:r>
      <w:bookmarkStart w:id="6" w:name="OLE_LINK34"/>
      <w:r>
        <w:rPr>
          <w:rFonts w:hint="default" w:ascii="Times New Roman" w:hAnsi="Times New Roman" w:cs="Times New Roman"/>
          <w:szCs w:val="20"/>
          <w:lang w:val="en-IN"/>
        </w:rPr>
        <w:t xml:space="preserve"> </w:t>
      </w:r>
    </w:p>
    <w:p w14:paraId="1F364074">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w:t>
      </w:r>
      <w:r>
        <w:rPr>
          <w:rFonts w:hint="default" w:ascii="Times New Roman" w:hAnsi="Times New Roman" w:cs="Times New Roman"/>
          <w:lang w:val="en-IN" w:eastAsia="zh-CN"/>
        </w:rPr>
        <w:t>52899</w:t>
      </w:r>
      <w:r>
        <w:rPr>
          <w:rFonts w:hint="default" w:ascii="Times New Roman" w:hAnsi="Times New Roman" w:cs="Times New Roman"/>
          <w:lang w:eastAsia="zh-CN"/>
        </w:rPr>
        <w:t xml:space="preserve"> New WID: </w:t>
      </w:r>
      <w:r>
        <w:rPr>
          <w:rFonts w:hint="default" w:ascii="Times New Roman" w:hAnsi="Times New Roman" w:cs="Times New Roman"/>
          <w:lang w:val="en-IN" w:eastAsia="zh-CN"/>
        </w:rPr>
        <w:t>AI Mobility, RAN#109.</w:t>
      </w:r>
    </w:p>
    <w:p w14:paraId="7066634E">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eastAsia="zh-CN"/>
        </w:rPr>
        <w:t>TR 38.744,</w:t>
      </w:r>
      <w:r>
        <w:rPr>
          <w:rFonts w:hint="default" w:ascii="Times New Roman" w:hAnsi="Times New Roman" w:eastAsia="SimSun" w:cs="Times New Roman"/>
          <w:i w:val="0"/>
          <w:iCs w:val="0"/>
          <w:caps w:val="0"/>
          <w:color w:val="000000"/>
          <w:spacing w:val="0"/>
          <w:sz w:val="20"/>
          <w:szCs w:val="20"/>
          <w:shd w:val="clear" w:fill="FFFFFF"/>
          <w:lang w:val="en-US"/>
        </w:rPr>
        <w:t> Study on Arftificaial Intelligence (AI)/ Machine Learning (ML) for Mobility in NR (Release 19) </w:t>
      </w:r>
      <w:r>
        <w:rPr>
          <w:rFonts w:hint="default" w:ascii="Times New Roman" w:hAnsi="Times New Roman" w:eastAsia="SimSun" w:cs="Times New Roman"/>
          <w:i w:val="0"/>
          <w:iCs w:val="0"/>
          <w:caps w:val="0"/>
          <w:color w:val="000000"/>
          <w:spacing w:val="0"/>
          <w:sz w:val="20"/>
          <w:szCs w:val="20"/>
          <w:shd w:val="clear" w:fill="FFFFFF"/>
        </w:rPr>
        <w:t> </w:t>
      </w:r>
    </w:p>
    <w:p w14:paraId="6D3A07EF">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TR 38.843, </w:t>
      </w:r>
      <w:bookmarkStart w:id="7" w:name="specTitle"/>
      <w:r>
        <w:rPr>
          <w:rFonts w:hint="default" w:ascii="Times New Roman" w:hAnsi="Times New Roman" w:cs="Times New Roman"/>
          <w:lang w:val="en-IN"/>
        </w:rPr>
        <w:t>Study on Artificial Intelligence (AI)/Machine Learning (ML) for NR air interface</w:t>
      </w:r>
      <w:bookmarkEnd w:id="7"/>
      <w:r>
        <w:rPr>
          <w:rFonts w:hint="default" w:ascii="Times New Roman" w:hAnsi="Times New Roman" w:cs="Times New Roman"/>
          <w:lang w:val="en-IN"/>
        </w:rPr>
        <w:t>,V19.0.0, RAN#109</w:t>
      </w:r>
    </w:p>
    <w:p w14:paraId="7E36652A">
      <w:pPr>
        <w:pStyle w:val="59"/>
        <w:numPr>
          <w:ilvl w:val="0"/>
          <w:numId w:val="17"/>
        </w:numPr>
        <w:ind w:leftChars="0"/>
        <w:textAlignment w:val="auto"/>
        <w:rPr>
          <w:rFonts w:hint="default" w:ascii="Times New Roman" w:hAnsi="Times New Roman" w:cs="Times New Roman"/>
          <w:lang w:eastAsia="zh-CN"/>
        </w:rPr>
      </w:pPr>
      <w:r>
        <w:rPr>
          <w:rFonts w:hint="default" w:ascii="Times New Roman" w:hAnsi="Times New Roman" w:cs="Times New Roman"/>
          <w:lang w:val="en-IN" w:eastAsia="zh-CN"/>
        </w:rPr>
        <w:t xml:space="preserve">R2-2509111 - </w:t>
      </w:r>
      <w:r>
        <w:rPr>
          <w:rFonts w:hint="default" w:ascii="Times New Roman" w:hAnsi="Times New Roman" w:eastAsia="SimSun" w:cs="Times New Roman"/>
          <w:i w:val="0"/>
          <w:iCs w:val="0"/>
          <w:caps w:val="0"/>
          <w:color w:val="000000"/>
          <w:spacing w:val="0"/>
          <w:sz w:val="20"/>
          <w:szCs w:val="20"/>
          <w:shd w:val="clear" w:fill="FFFFFF"/>
          <w:lang w:val="en-US"/>
        </w:rPr>
        <w:t>Report form Session on R18/R19 MOB, R19 NES and R20 AI/ML MOB</w:t>
      </w:r>
      <w:r>
        <w:rPr>
          <w:rFonts w:hint="default" w:ascii="Times New Roman" w:hAnsi="Times New Roman" w:cs="Times New Roman"/>
          <w:i w:val="0"/>
          <w:iCs w:val="0"/>
          <w:caps w:val="0"/>
          <w:color w:val="000000"/>
          <w:spacing w:val="0"/>
          <w:sz w:val="20"/>
          <w:szCs w:val="20"/>
          <w:shd w:val="clear" w:fill="FFFFFF"/>
          <w:lang w:val="en-IN"/>
        </w:rPr>
        <w:t>, RAN#132.</w:t>
      </w:r>
    </w:p>
    <w:p w14:paraId="4B37778B">
      <w:pPr>
        <w:pStyle w:val="59"/>
        <w:numPr>
          <w:ilvl w:val="0"/>
          <w:numId w:val="0"/>
        </w:numPr>
        <w:ind w:leftChars="0"/>
        <w:textAlignment w:val="auto"/>
        <w:rPr>
          <w:rFonts w:hint="default" w:ascii="Times New Roman" w:hAnsi="Times New Roman" w:cs="Times New Roman"/>
          <w:lang w:eastAsia="zh-CN"/>
        </w:rPr>
      </w:pPr>
    </w:p>
    <w:bookmarkEnd w:id="6"/>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onsolas">
    <w:panose1 w:val="020B0609020204030204"/>
    <w:charset w:val="00"/>
    <w:family w:val="auto"/>
    <w:pitch w:val="default"/>
    <w:sig w:usb0="E00006FF" w:usb1="0000FCFF" w:usb2="00000001" w:usb3="00000000" w:csb0="6000019F" w:csb1="DFD70000"/>
  </w:font>
  <w:font w:name="굴림">
    <w:altName w:val="Malgun Gothic"/>
    <w:panose1 w:val="020B0600000101010101"/>
    <w:charset w:val="81"/>
    <w:family w:val="moder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3</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3</w:t>
    </w:r>
    <w:r>
      <w:rPr>
        <w:rStyle w:val="42"/>
      </w:rPr>
      <w:fldChar w:fldCharType="end"/>
    </w:r>
    <w:r>
      <w:rPr>
        <w:rStyle w:val="4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sz w:val="32"/>
        <w:szCs w:val="32"/>
      </w:rPr>
    </w:lvl>
    <w:lvl w:ilvl="2" w:tentative="0">
      <w:start w:val="1"/>
      <w:numFmt w:val="decimal"/>
      <w:pStyle w:val="4"/>
      <w:lvlText w:val="%1.%2.%3"/>
      <w:lvlJc w:val="left"/>
      <w:pPr>
        <w:tabs>
          <w:tab w:val="left" w:pos="862"/>
        </w:tabs>
        <w:ind w:left="862" w:hanging="720"/>
      </w:pPr>
      <w:rPr>
        <w:rFonts w:hint="default" w:ascii="Times New Roman" w:hAnsi="Times New Roman" w:cs="Times New Roman"/>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24DAF01B"/>
    <w:multiLevelType w:val="singleLevel"/>
    <w:tmpl w:val="24DAF01B"/>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6301CC"/>
    <w:multiLevelType w:val="singleLevel"/>
    <w:tmpl w:val="3B6301CC"/>
    <w:lvl w:ilvl="0" w:tentative="0">
      <w:start w:val="1"/>
      <w:numFmt w:val="bullet"/>
      <w:pStyle w:val="123"/>
      <w:lvlText w:val=""/>
      <w:lvlJc w:val="left"/>
      <w:pPr>
        <w:tabs>
          <w:tab w:val="left" w:pos="1494"/>
        </w:tabs>
        <w:ind w:left="227" w:firstLine="907"/>
      </w:pPr>
      <w:rPr>
        <w:rFonts w:hint="default" w:ascii="Symbol" w:hAnsi="Symbol"/>
      </w:rPr>
    </w:lvl>
  </w:abstractNum>
  <w:abstractNum w:abstractNumId="6">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426B29"/>
    <w:multiLevelType w:val="multilevel"/>
    <w:tmpl w:val="52426B29"/>
    <w:lvl w:ilvl="0" w:tentative="0">
      <w:start w:val="1"/>
      <w:numFmt w:val="decimal"/>
      <w:pStyle w:val="105"/>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2">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C2DA6CA"/>
    <w:multiLevelType w:val="multilevel"/>
    <w:tmpl w:val="6C2DA6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18"/>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5">
    <w:nsid w:val="7893FCAC"/>
    <w:multiLevelType w:val="multilevel"/>
    <w:tmpl w:val="7893FC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7"/>
  </w:num>
  <w:num w:numId="4">
    <w:abstractNumId w:val="12"/>
  </w:num>
  <w:num w:numId="5">
    <w:abstractNumId w:val="3"/>
  </w:num>
  <w:num w:numId="6">
    <w:abstractNumId w:val="6"/>
  </w:num>
  <w:num w:numId="7">
    <w:abstractNumId w:val="8"/>
  </w:num>
  <w:num w:numId="8">
    <w:abstractNumId w:val="4"/>
  </w:num>
  <w:num w:numId="9">
    <w:abstractNumId w:val="9"/>
  </w:num>
  <w:num w:numId="10">
    <w:abstractNumId w:val="16"/>
  </w:num>
  <w:num w:numId="11">
    <w:abstractNumId w:val="11"/>
  </w:num>
  <w:num w:numId="12">
    <w:abstractNumId w:val="14"/>
  </w:num>
  <w:num w:numId="13">
    <w:abstractNumId w:val="10"/>
  </w:num>
  <w:num w:numId="14">
    <w:abstractNumId w:val="5"/>
  </w:num>
  <w:num w:numId="15">
    <w:abstractNumId w:val="15"/>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3F044E6"/>
    <w:rsid w:val="045D4251"/>
    <w:rsid w:val="049E52A6"/>
    <w:rsid w:val="05960909"/>
    <w:rsid w:val="05C8248C"/>
    <w:rsid w:val="07051E94"/>
    <w:rsid w:val="073A2F41"/>
    <w:rsid w:val="074D66CE"/>
    <w:rsid w:val="07934F7B"/>
    <w:rsid w:val="0831247B"/>
    <w:rsid w:val="0852331B"/>
    <w:rsid w:val="08971832"/>
    <w:rsid w:val="08BC3764"/>
    <w:rsid w:val="09844786"/>
    <w:rsid w:val="0A066149"/>
    <w:rsid w:val="0A0C35ED"/>
    <w:rsid w:val="0A4E4DF4"/>
    <w:rsid w:val="0B03501E"/>
    <w:rsid w:val="0BB85A80"/>
    <w:rsid w:val="0BD7497E"/>
    <w:rsid w:val="0CAA6C3B"/>
    <w:rsid w:val="0CAD1108"/>
    <w:rsid w:val="0D986571"/>
    <w:rsid w:val="0DF6562C"/>
    <w:rsid w:val="0E9A4420"/>
    <w:rsid w:val="0EFF715B"/>
    <w:rsid w:val="102434F5"/>
    <w:rsid w:val="113C7F55"/>
    <w:rsid w:val="11CF6A61"/>
    <w:rsid w:val="129A0A6B"/>
    <w:rsid w:val="12EC76FF"/>
    <w:rsid w:val="133742F0"/>
    <w:rsid w:val="134F1E1B"/>
    <w:rsid w:val="136479F4"/>
    <w:rsid w:val="137917AE"/>
    <w:rsid w:val="13984D29"/>
    <w:rsid w:val="13AE6A04"/>
    <w:rsid w:val="13BF1EF7"/>
    <w:rsid w:val="147B3C2A"/>
    <w:rsid w:val="15273D43"/>
    <w:rsid w:val="16D81AAB"/>
    <w:rsid w:val="17263761"/>
    <w:rsid w:val="17C025B0"/>
    <w:rsid w:val="17CB2E65"/>
    <w:rsid w:val="17DD05A8"/>
    <w:rsid w:val="17F57C9F"/>
    <w:rsid w:val="1827001C"/>
    <w:rsid w:val="18592438"/>
    <w:rsid w:val="18D57CCC"/>
    <w:rsid w:val="18F9776C"/>
    <w:rsid w:val="1A35698F"/>
    <w:rsid w:val="1A7739DE"/>
    <w:rsid w:val="1ADC758E"/>
    <w:rsid w:val="1B374B68"/>
    <w:rsid w:val="1B6D1F56"/>
    <w:rsid w:val="1BC26608"/>
    <w:rsid w:val="1D073183"/>
    <w:rsid w:val="1E4B248D"/>
    <w:rsid w:val="1E9056EF"/>
    <w:rsid w:val="1F7652AC"/>
    <w:rsid w:val="1FB551F0"/>
    <w:rsid w:val="1FEA526B"/>
    <w:rsid w:val="1FEE695B"/>
    <w:rsid w:val="203330E1"/>
    <w:rsid w:val="20455156"/>
    <w:rsid w:val="207E5ADF"/>
    <w:rsid w:val="20E64474"/>
    <w:rsid w:val="211E4363"/>
    <w:rsid w:val="21655077"/>
    <w:rsid w:val="2249146F"/>
    <w:rsid w:val="225902C4"/>
    <w:rsid w:val="22592A24"/>
    <w:rsid w:val="22A972A6"/>
    <w:rsid w:val="22B939E1"/>
    <w:rsid w:val="22D84D4A"/>
    <w:rsid w:val="22DC17A5"/>
    <w:rsid w:val="236751A2"/>
    <w:rsid w:val="23883EAC"/>
    <w:rsid w:val="23B35432"/>
    <w:rsid w:val="2412563B"/>
    <w:rsid w:val="2471149F"/>
    <w:rsid w:val="24AA2336"/>
    <w:rsid w:val="25564A10"/>
    <w:rsid w:val="257C6209"/>
    <w:rsid w:val="25E85D30"/>
    <w:rsid w:val="25EC6933"/>
    <w:rsid w:val="261A5A10"/>
    <w:rsid w:val="26454023"/>
    <w:rsid w:val="26A56FD4"/>
    <w:rsid w:val="26B872A7"/>
    <w:rsid w:val="27532F3B"/>
    <w:rsid w:val="2894287E"/>
    <w:rsid w:val="296F5A87"/>
    <w:rsid w:val="29956A5E"/>
    <w:rsid w:val="29E442AF"/>
    <w:rsid w:val="2A015241"/>
    <w:rsid w:val="2A667732"/>
    <w:rsid w:val="2A692B9B"/>
    <w:rsid w:val="2A6D7A05"/>
    <w:rsid w:val="2B216025"/>
    <w:rsid w:val="2BFE26C6"/>
    <w:rsid w:val="2C227B35"/>
    <w:rsid w:val="2C3B5B01"/>
    <w:rsid w:val="2CDD53B3"/>
    <w:rsid w:val="2E6125A6"/>
    <w:rsid w:val="2EF54BB9"/>
    <w:rsid w:val="2F410E7B"/>
    <w:rsid w:val="2FAD36C3"/>
    <w:rsid w:val="30006F9C"/>
    <w:rsid w:val="31594282"/>
    <w:rsid w:val="315F400E"/>
    <w:rsid w:val="31E91F1F"/>
    <w:rsid w:val="31F40653"/>
    <w:rsid w:val="33DC7D6A"/>
    <w:rsid w:val="35C34243"/>
    <w:rsid w:val="36270F18"/>
    <w:rsid w:val="364A19FA"/>
    <w:rsid w:val="36EB624B"/>
    <w:rsid w:val="37705E9C"/>
    <w:rsid w:val="38240A52"/>
    <w:rsid w:val="385E1608"/>
    <w:rsid w:val="38FF5FAB"/>
    <w:rsid w:val="39DA48E8"/>
    <w:rsid w:val="3A064243"/>
    <w:rsid w:val="3AB82FDF"/>
    <w:rsid w:val="3B46104B"/>
    <w:rsid w:val="3B6B5A08"/>
    <w:rsid w:val="3BE52761"/>
    <w:rsid w:val="3BF875AB"/>
    <w:rsid w:val="3C964BD6"/>
    <w:rsid w:val="3CEF24BF"/>
    <w:rsid w:val="3D407F0C"/>
    <w:rsid w:val="3D6C528D"/>
    <w:rsid w:val="3EC66663"/>
    <w:rsid w:val="40526747"/>
    <w:rsid w:val="40A53B48"/>
    <w:rsid w:val="40B84074"/>
    <w:rsid w:val="40C142CB"/>
    <w:rsid w:val="40F65E64"/>
    <w:rsid w:val="414A1CD8"/>
    <w:rsid w:val="42380D30"/>
    <w:rsid w:val="42717C50"/>
    <w:rsid w:val="428471F1"/>
    <w:rsid w:val="428D1B9B"/>
    <w:rsid w:val="42A83EDD"/>
    <w:rsid w:val="44516AA1"/>
    <w:rsid w:val="45B96DA7"/>
    <w:rsid w:val="46CE2624"/>
    <w:rsid w:val="471D4A8B"/>
    <w:rsid w:val="47330C27"/>
    <w:rsid w:val="476E11F9"/>
    <w:rsid w:val="47CF4CBD"/>
    <w:rsid w:val="48032AD9"/>
    <w:rsid w:val="482578F8"/>
    <w:rsid w:val="487C173B"/>
    <w:rsid w:val="48923403"/>
    <w:rsid w:val="48BE62E5"/>
    <w:rsid w:val="49402E59"/>
    <w:rsid w:val="4A681188"/>
    <w:rsid w:val="4A9A0EE6"/>
    <w:rsid w:val="4BB1325C"/>
    <w:rsid w:val="4C8927EB"/>
    <w:rsid w:val="4CA50021"/>
    <w:rsid w:val="4CDD283B"/>
    <w:rsid w:val="4CFF1952"/>
    <w:rsid w:val="4D343F96"/>
    <w:rsid w:val="4D355CB8"/>
    <w:rsid w:val="4E5B4D57"/>
    <w:rsid w:val="4EF75830"/>
    <w:rsid w:val="4F2D48C4"/>
    <w:rsid w:val="4F716A63"/>
    <w:rsid w:val="4F9D33AA"/>
    <w:rsid w:val="5045033F"/>
    <w:rsid w:val="50554986"/>
    <w:rsid w:val="506C0C4E"/>
    <w:rsid w:val="508D6535"/>
    <w:rsid w:val="510335BA"/>
    <w:rsid w:val="51193B9B"/>
    <w:rsid w:val="51600C34"/>
    <w:rsid w:val="51D34289"/>
    <w:rsid w:val="521146C1"/>
    <w:rsid w:val="529B735E"/>
    <w:rsid w:val="53AE55F7"/>
    <w:rsid w:val="54095CF0"/>
    <w:rsid w:val="558D187E"/>
    <w:rsid w:val="55901067"/>
    <w:rsid w:val="560663C5"/>
    <w:rsid w:val="567E3972"/>
    <w:rsid w:val="56F82FDB"/>
    <w:rsid w:val="58021CE9"/>
    <w:rsid w:val="58CB0962"/>
    <w:rsid w:val="59830925"/>
    <w:rsid w:val="59D61179"/>
    <w:rsid w:val="5A6D1717"/>
    <w:rsid w:val="5A83719B"/>
    <w:rsid w:val="5AD738D5"/>
    <w:rsid w:val="5B396328"/>
    <w:rsid w:val="5BA65CB3"/>
    <w:rsid w:val="5C5F10B5"/>
    <w:rsid w:val="5CA81980"/>
    <w:rsid w:val="5D625B10"/>
    <w:rsid w:val="5D8C69D3"/>
    <w:rsid w:val="5DD86A45"/>
    <w:rsid w:val="5F702B80"/>
    <w:rsid w:val="5FD23B07"/>
    <w:rsid w:val="605B580B"/>
    <w:rsid w:val="6072304B"/>
    <w:rsid w:val="60A7051F"/>
    <w:rsid w:val="60BF2442"/>
    <w:rsid w:val="60DD0BAD"/>
    <w:rsid w:val="61464BA5"/>
    <w:rsid w:val="61782E39"/>
    <w:rsid w:val="61BF4A29"/>
    <w:rsid w:val="62A16505"/>
    <w:rsid w:val="635D5C76"/>
    <w:rsid w:val="63746868"/>
    <w:rsid w:val="63E14B3E"/>
    <w:rsid w:val="647C37F5"/>
    <w:rsid w:val="64BD33A1"/>
    <w:rsid w:val="64E50514"/>
    <w:rsid w:val="66C327FA"/>
    <w:rsid w:val="673A2DA9"/>
    <w:rsid w:val="67CA1877"/>
    <w:rsid w:val="68A15330"/>
    <w:rsid w:val="69254592"/>
    <w:rsid w:val="69E82BD0"/>
    <w:rsid w:val="6A4D40CB"/>
    <w:rsid w:val="6A4E32D2"/>
    <w:rsid w:val="6BD9660A"/>
    <w:rsid w:val="6BEE35CC"/>
    <w:rsid w:val="6CBB3DE1"/>
    <w:rsid w:val="6D673A8B"/>
    <w:rsid w:val="6DCA3B30"/>
    <w:rsid w:val="70B66BEB"/>
    <w:rsid w:val="71DE3CE7"/>
    <w:rsid w:val="725B5B2D"/>
    <w:rsid w:val="73E75963"/>
    <w:rsid w:val="74965297"/>
    <w:rsid w:val="74B152B6"/>
    <w:rsid w:val="74C344CD"/>
    <w:rsid w:val="74D0727A"/>
    <w:rsid w:val="74F77493"/>
    <w:rsid w:val="75415389"/>
    <w:rsid w:val="757C24A2"/>
    <w:rsid w:val="7581598A"/>
    <w:rsid w:val="75E9182E"/>
    <w:rsid w:val="76925D60"/>
    <w:rsid w:val="76CD744C"/>
    <w:rsid w:val="77152EE5"/>
    <w:rsid w:val="772C23A7"/>
    <w:rsid w:val="77B72A76"/>
    <w:rsid w:val="79324FE1"/>
    <w:rsid w:val="79966CC7"/>
    <w:rsid w:val="7A8B765D"/>
    <w:rsid w:val="7B795FAE"/>
    <w:rsid w:val="7B9F20D5"/>
    <w:rsid w:val="7BB30F17"/>
    <w:rsid w:val="7BB60E19"/>
    <w:rsid w:val="7C095EF4"/>
    <w:rsid w:val="7C3D17EF"/>
    <w:rsid w:val="7CD90610"/>
    <w:rsid w:val="7CE86C9A"/>
    <w:rsid w:val="7CF61B59"/>
    <w:rsid w:val="7D553741"/>
    <w:rsid w:val="7DEB5D59"/>
    <w:rsid w:val="7F1F61F1"/>
    <w:rsid w:val="7FBB468F"/>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5"/>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6"/>
    <w:qFormat/>
    <w:uiPriority w:val="0"/>
  </w:style>
  <w:style w:type="paragraph" w:styleId="15">
    <w:name w:val="caption"/>
    <w:basedOn w:val="1"/>
    <w:next w:val="1"/>
    <w:link w:val="95"/>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2"/>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TML Code"/>
    <w:basedOn w:val="11"/>
    <w:qFormat/>
    <w:uiPriority w:val="0"/>
    <w:rPr>
      <w:rFonts w:ascii="Courier New" w:hAnsi="Courier New" w:cs="Courier New"/>
      <w:sz w:val="20"/>
      <w:szCs w:val="20"/>
    </w:rPr>
  </w:style>
  <w:style w:type="character" w:styleId="26">
    <w:name w:val="Hyperlink"/>
    <w:qFormat/>
    <w:uiPriority w:val="99"/>
    <w:rPr>
      <w:color w:val="0000FF"/>
      <w:u w:val="single"/>
      <w:lang w:val="en-GB"/>
    </w:rPr>
  </w:style>
  <w:style w:type="paragraph" w:styleId="27">
    <w:name w:val="index 1"/>
    <w:basedOn w:val="1"/>
    <w:semiHidden/>
    <w:qFormat/>
    <w:uiPriority w:val="0"/>
    <w:pPr>
      <w:keepLines/>
      <w:spacing w:after="0"/>
    </w:pPr>
  </w:style>
  <w:style w:type="paragraph" w:styleId="28">
    <w:name w:val="index 2"/>
    <w:basedOn w:val="27"/>
    <w:semiHidden/>
    <w:qFormat/>
    <w:uiPriority w:val="0"/>
    <w:pPr>
      <w:ind w:left="284"/>
    </w:pPr>
  </w:style>
  <w:style w:type="paragraph" w:styleId="29">
    <w:name w:val="List"/>
    <w:basedOn w:val="1"/>
    <w:qFormat/>
    <w:uiPriority w:val="0"/>
    <w:pPr>
      <w:ind w:left="568" w:hanging="284"/>
    </w:pPr>
  </w:style>
  <w:style w:type="paragraph" w:styleId="30">
    <w:name w:val="List 2"/>
    <w:basedOn w:val="29"/>
    <w:qFormat/>
    <w:uiPriority w:val="0"/>
    <w:pPr>
      <w:ind w:left="851"/>
    </w:pPr>
  </w:style>
  <w:style w:type="paragraph" w:styleId="31">
    <w:name w:val="List 3"/>
    <w:basedOn w:val="30"/>
    <w:qFormat/>
    <w:uiPriority w:val="0"/>
    <w:pPr>
      <w:ind w:left="1135"/>
    </w:pPr>
  </w:style>
  <w:style w:type="paragraph" w:styleId="32">
    <w:name w:val="List 4"/>
    <w:basedOn w:val="31"/>
    <w:qFormat/>
    <w:uiPriority w:val="0"/>
    <w:pPr>
      <w:ind w:left="1418"/>
    </w:pPr>
  </w:style>
  <w:style w:type="paragraph" w:styleId="33">
    <w:name w:val="List 5"/>
    <w:basedOn w:val="32"/>
    <w:qFormat/>
    <w:uiPriority w:val="0"/>
    <w:pPr>
      <w:ind w:left="1702"/>
    </w:pPr>
  </w:style>
  <w:style w:type="paragraph" w:styleId="34">
    <w:name w:val="List Bullet"/>
    <w:basedOn w:val="14"/>
    <w:qFormat/>
    <w:uiPriority w:val="0"/>
    <w:pPr>
      <w:numPr>
        <w:ilvl w:val="0"/>
        <w:numId w:val="2"/>
      </w:numPr>
    </w:pPr>
  </w:style>
  <w:style w:type="paragraph" w:styleId="35">
    <w:name w:val="List Bullet 2"/>
    <w:basedOn w:val="34"/>
    <w:qFormat/>
    <w:uiPriority w:val="0"/>
    <w:pPr>
      <w:numPr>
        <w:ilvl w:val="0"/>
        <w:numId w:val="3"/>
      </w:numPr>
    </w:pPr>
  </w:style>
  <w:style w:type="paragraph" w:styleId="36">
    <w:name w:val="List Bullet 3"/>
    <w:basedOn w:val="35"/>
    <w:qFormat/>
    <w:uiPriority w:val="0"/>
    <w:pPr>
      <w:numPr>
        <w:numId w:val="4"/>
      </w:numPr>
      <w:tabs>
        <w:tab w:val="left" w:pos="1077"/>
      </w:tabs>
    </w:pPr>
  </w:style>
  <w:style w:type="paragraph" w:styleId="37">
    <w:name w:val="List Bullet 4"/>
    <w:basedOn w:val="36"/>
    <w:qFormat/>
    <w:uiPriority w:val="0"/>
    <w:pPr>
      <w:numPr>
        <w:numId w:val="5"/>
      </w:numPr>
      <w:tabs>
        <w:tab w:val="left" w:pos="1361"/>
      </w:tabs>
    </w:pPr>
  </w:style>
  <w:style w:type="paragraph" w:styleId="38">
    <w:name w:val="List Bullet 5"/>
    <w:basedOn w:val="37"/>
    <w:qFormat/>
    <w:uiPriority w:val="0"/>
    <w:pPr>
      <w:numPr>
        <w:numId w:val="6"/>
      </w:numPr>
      <w:tabs>
        <w:tab w:val="left" w:pos="1644"/>
      </w:tabs>
    </w:pPr>
  </w:style>
  <w:style w:type="paragraph" w:styleId="39">
    <w:name w:val="List Number"/>
    <w:basedOn w:val="29"/>
    <w:qFormat/>
    <w:uiPriority w:val="0"/>
  </w:style>
  <w:style w:type="paragraph" w:styleId="40">
    <w:name w:val="List Number 2"/>
    <w:basedOn w:val="39"/>
    <w:qFormat/>
    <w:uiPriority w:val="0"/>
    <w:pPr>
      <w:ind w:left="851"/>
    </w:pPr>
  </w:style>
  <w:style w:type="paragraph" w:styleId="41">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2">
    <w:name w:val="page number"/>
    <w:basedOn w:val="11"/>
    <w:semiHidden/>
    <w:qFormat/>
    <w:uiPriority w:val="0"/>
  </w:style>
  <w:style w:type="character" w:styleId="43">
    <w:name w:val="Strong"/>
    <w:basedOn w:val="11"/>
    <w:qFormat/>
    <w:uiPriority w:val="0"/>
    <w:rPr>
      <w:b/>
      <w:bCs/>
    </w:rPr>
  </w:style>
  <w:style w:type="table" w:styleId="44">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able of figures"/>
    <w:basedOn w:val="1"/>
    <w:next w:val="1"/>
    <w:qFormat/>
    <w:uiPriority w:val="99"/>
    <w:pPr>
      <w:ind w:left="1418" w:hanging="1418"/>
      <w:jc w:val="left"/>
    </w:pPr>
    <w:rPr>
      <w:b/>
    </w:rPr>
  </w:style>
  <w:style w:type="paragraph" w:styleId="46">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7">
    <w:name w:val="toc 2"/>
    <w:basedOn w:val="46"/>
    <w:semiHidden/>
    <w:qFormat/>
    <w:uiPriority w:val="0"/>
    <w:pPr>
      <w:keepNext w:val="0"/>
      <w:spacing w:before="0"/>
      <w:ind w:left="851" w:hanging="851"/>
    </w:pPr>
    <w:rPr>
      <w:szCs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tabs>
        <w:tab w:val="right" w:pos="1701"/>
      </w:tabs>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val="0"/>
      <w:bCs/>
    </w:rPr>
  </w:style>
  <w:style w:type="paragraph" w:styleId="54">
    <w:name w:val="toc 9"/>
    <w:basedOn w:val="53"/>
    <w:semiHidden/>
    <w:qFormat/>
    <w:uiPriority w:val="0"/>
    <w:pPr>
      <w:ind w:left="1418" w:hanging="1418"/>
    </w:pPr>
  </w:style>
  <w:style w:type="paragraph" w:customStyle="1" w:styleId="55">
    <w:name w:val="Figure"/>
    <w:basedOn w:val="1"/>
    <w:next w:val="15"/>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character" w:customStyle="1" w:styleId="60">
    <w:name w:val="标题 1 字符"/>
    <w:link w:val="2"/>
    <w:qFormat/>
    <w:uiPriority w:val="0"/>
    <w:rPr>
      <w:rFonts w:ascii="Arial" w:hAnsi="Arial" w:cs="Arial"/>
      <w:sz w:val="36"/>
      <w:szCs w:val="36"/>
      <w:lang w:val="en-GB"/>
    </w:rPr>
  </w:style>
  <w:style w:type="paragraph" w:customStyle="1" w:styleId="61">
    <w:name w:val="B1"/>
    <w:basedOn w:val="29"/>
    <w:link w:val="90"/>
    <w:qFormat/>
    <w:uiPriority w:val="0"/>
    <w:pPr>
      <w:spacing w:after="180"/>
      <w:jc w:val="left"/>
    </w:pPr>
    <w:rPr>
      <w:lang w:eastAsia="en-US"/>
    </w:rPr>
  </w:style>
  <w:style w:type="paragraph" w:customStyle="1" w:styleId="62">
    <w:name w:val="B2"/>
    <w:basedOn w:val="30"/>
    <w:link w:val="91"/>
    <w:qFormat/>
    <w:uiPriority w:val="0"/>
    <w:pPr>
      <w:spacing w:after="180"/>
      <w:jc w:val="left"/>
    </w:pPr>
    <w:rPr>
      <w:lang w:eastAsia="en-US"/>
    </w:rPr>
  </w:style>
  <w:style w:type="paragraph" w:customStyle="1" w:styleId="63">
    <w:name w:val="B3"/>
    <w:basedOn w:val="31"/>
    <w:link w:val="92"/>
    <w:qFormat/>
    <w:uiPriority w:val="0"/>
    <w:pPr>
      <w:spacing w:after="180"/>
      <w:jc w:val="left"/>
    </w:pPr>
    <w:rPr>
      <w:lang w:eastAsia="en-US"/>
    </w:rPr>
  </w:style>
  <w:style w:type="paragraph" w:customStyle="1" w:styleId="64">
    <w:name w:val="B4"/>
    <w:basedOn w:val="32"/>
    <w:link w:val="129"/>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character" w:customStyle="1" w:styleId="66">
    <w:name w:val="正文文本 字符"/>
    <w:link w:val="14"/>
    <w:qFormat/>
    <w:uiPriority w:val="0"/>
    <w:rPr>
      <w:rFonts w:ascii="Arial" w:hAnsi="Arial"/>
      <w:lang w:val="en-GB"/>
    </w:rPr>
  </w:style>
  <w:style w:type="paragraph" w:customStyle="1" w:styleId="67">
    <w:name w:val="B5"/>
    <w:basedOn w:val="33"/>
    <w:qFormat/>
    <w:uiPriority w:val="0"/>
    <w:pPr>
      <w:spacing w:after="180"/>
      <w:jc w:val="left"/>
    </w:pPr>
    <w:rPr>
      <w:lang w:eastAsia="en-US"/>
    </w:rPr>
  </w:style>
  <w:style w:type="paragraph" w:customStyle="1" w:styleId="68">
    <w:name w:val="EX"/>
    <w:basedOn w:val="1"/>
    <w:qFormat/>
    <w:uiPriority w:val="0"/>
    <w:pPr>
      <w:keepLines/>
      <w:spacing w:after="180"/>
      <w:ind w:left="1702" w:hanging="1418"/>
      <w:jc w:val="left"/>
    </w:pPr>
    <w:rPr>
      <w:lang w:eastAsia="en-US"/>
    </w:rPr>
  </w:style>
  <w:style w:type="paragraph" w:customStyle="1" w:styleId="69">
    <w:name w:val="EW"/>
    <w:basedOn w:val="68"/>
    <w:qFormat/>
    <w:uiPriority w:val="0"/>
    <w:pPr>
      <w:spacing w:after="0"/>
    </w:pPr>
  </w:style>
  <w:style w:type="paragraph" w:customStyle="1" w:styleId="70">
    <w:name w:val="TAL"/>
    <w:basedOn w:val="1"/>
    <w:link w:val="117"/>
    <w:qFormat/>
    <w:uiPriority w:val="0"/>
    <w:pPr>
      <w:keepNext/>
      <w:keepLines/>
      <w:spacing w:after="0"/>
      <w:jc w:val="left"/>
    </w:pPr>
    <w:rPr>
      <w:sz w:val="18"/>
      <w:lang w:eastAsia="en-US"/>
    </w:rPr>
  </w:style>
  <w:style w:type="paragraph" w:customStyle="1" w:styleId="71">
    <w:name w:val="TAC"/>
    <w:basedOn w:val="70"/>
    <w:link w:val="103"/>
    <w:qFormat/>
    <w:uiPriority w:val="0"/>
    <w:pPr>
      <w:jc w:val="center"/>
    </w:pPr>
  </w:style>
  <w:style w:type="paragraph" w:customStyle="1" w:styleId="72">
    <w:name w:val="TAH"/>
    <w:basedOn w:val="71"/>
    <w:link w:val="104"/>
    <w:qFormat/>
    <w:uiPriority w:val="0"/>
    <w:rPr>
      <w:b/>
    </w:rPr>
  </w:style>
  <w:style w:type="paragraph" w:customStyle="1" w:styleId="73">
    <w:name w:val="TAN"/>
    <w:basedOn w:val="70"/>
    <w:qFormat/>
    <w:uiPriority w:val="0"/>
    <w:pPr>
      <w:ind w:left="851" w:hanging="851"/>
    </w:pPr>
  </w:style>
  <w:style w:type="paragraph" w:customStyle="1" w:styleId="74">
    <w:name w:val="TAR"/>
    <w:basedOn w:val="70"/>
    <w:qFormat/>
    <w:uiPriority w:val="0"/>
    <w:pPr>
      <w:jc w:val="right"/>
    </w:pPr>
  </w:style>
  <w:style w:type="paragraph" w:customStyle="1" w:styleId="75">
    <w:name w:val="TH"/>
    <w:basedOn w:val="1"/>
    <w:link w:val="102"/>
    <w:qFormat/>
    <w:uiPriority w:val="0"/>
    <w:pPr>
      <w:keepNext/>
      <w:keepLines/>
      <w:spacing w:before="60" w:after="180"/>
      <w:jc w:val="center"/>
    </w:pPr>
    <w:rPr>
      <w:b/>
      <w:lang w:eastAsia="en-US"/>
    </w:rPr>
  </w:style>
  <w:style w:type="paragraph" w:customStyle="1" w:styleId="76">
    <w:name w:val="TF"/>
    <w:basedOn w:val="75"/>
    <w:link w:val="108"/>
    <w:qFormat/>
    <w:uiPriority w:val="0"/>
    <w:pPr>
      <w:keepNext w:val="0"/>
      <w:spacing w:before="0" w:after="240"/>
    </w:pPr>
  </w:style>
  <w:style w:type="paragraph" w:customStyle="1" w:styleId="77">
    <w:name w:val="TT"/>
    <w:basedOn w:val="2"/>
    <w:next w:val="1"/>
    <w:qFormat/>
    <w:uiPriority w:val="0"/>
    <w:pPr>
      <w:numPr>
        <w:numId w:val="0"/>
      </w:numPr>
      <w:ind w:left="1134" w:hanging="1134"/>
      <w:outlineLvl w:val="9"/>
    </w:pPr>
    <w:rPr>
      <w:rFonts w:cs="Times New Roman"/>
      <w:szCs w:val="20"/>
      <w:lang w:eastAsia="en-US"/>
    </w:r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2">
    <w:name w:val="ZGSM"/>
    <w:qFormat/>
    <w:uiPriority w:val="0"/>
  </w:style>
  <w:style w:type="paragraph" w:customStyle="1" w:styleId="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5">
    <w:name w:val="ZTD"/>
    <w:basedOn w:val="79"/>
    <w:qFormat/>
    <w:uiPriority w:val="0"/>
    <w:pPr>
      <w:framePr w:hRule="auto" w:y="852"/>
    </w:pPr>
    <w:rPr>
      <w:i w:val="0"/>
      <w:sz w:val="40"/>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7">
    <w:name w:val="ZV"/>
    <w:basedOn w:val="86"/>
    <w:qFormat/>
    <w:uiPriority w:val="0"/>
    <w:pPr>
      <w:framePr w:y="16161"/>
    </w:pPr>
  </w:style>
  <w:style w:type="paragraph" w:customStyle="1" w:styleId="88">
    <w:name w:val="FP"/>
    <w:basedOn w:val="1"/>
    <w:qFormat/>
    <w:uiPriority w:val="0"/>
    <w:pPr>
      <w:spacing w:after="0"/>
      <w:jc w:val="left"/>
    </w:pPr>
    <w:rPr>
      <w:lang w:eastAsia="en-US"/>
    </w:rPr>
  </w:style>
  <w:style w:type="paragraph" w:customStyle="1" w:styleId="89">
    <w:name w:val="Observation"/>
    <w:basedOn w:val="65"/>
    <w:qFormat/>
    <w:uiPriority w:val="0"/>
    <w:pPr>
      <w:numPr>
        <w:ilvl w:val="0"/>
        <w:numId w:val="9"/>
      </w:numPr>
    </w:pPr>
  </w:style>
  <w:style w:type="character" w:customStyle="1" w:styleId="90">
    <w:name w:val="B1 Char"/>
    <w:link w:val="61"/>
    <w:qFormat/>
    <w:uiPriority w:val="0"/>
    <w:rPr>
      <w:rFonts w:ascii="Arial" w:hAnsi="Arial"/>
      <w:lang w:val="en-GB" w:eastAsia="en-US"/>
    </w:rPr>
  </w:style>
  <w:style w:type="character" w:customStyle="1" w:styleId="91">
    <w:name w:val="B2 Char"/>
    <w:link w:val="62"/>
    <w:qFormat/>
    <w:uiPriority w:val="0"/>
    <w:rPr>
      <w:rFonts w:ascii="Arial" w:hAnsi="Arial"/>
      <w:lang w:val="en-GB" w:eastAsia="en-US"/>
    </w:rPr>
  </w:style>
  <w:style w:type="character" w:customStyle="1" w:styleId="92">
    <w:name w:val="B3 Char"/>
    <w:link w:val="63"/>
    <w:qFormat/>
    <w:uiPriority w:val="0"/>
    <w:rPr>
      <w:rFonts w:ascii="Arial" w:hAnsi="Arial"/>
      <w:lang w:val="en-GB" w:eastAsia="en-US"/>
    </w:rPr>
  </w:style>
  <w:style w:type="paragraph" w:customStyle="1" w:styleId="93">
    <w:name w:val="NO"/>
    <w:basedOn w:val="1"/>
    <w:link w:val="94"/>
    <w:qFormat/>
    <w:uiPriority w:val="0"/>
    <w:pPr>
      <w:keepLines/>
      <w:spacing w:after="180"/>
      <w:ind w:left="1135" w:hanging="851"/>
      <w:jc w:val="left"/>
    </w:pPr>
    <w:rPr>
      <w:rFonts w:ascii="Times New Roman" w:hAnsi="Times New Roman" w:eastAsia="Malgun Gothic"/>
      <w:lang w:eastAsia="ko-KR"/>
    </w:rPr>
  </w:style>
  <w:style w:type="character" w:customStyle="1" w:styleId="94">
    <w:name w:val="NO Char"/>
    <w:link w:val="93"/>
    <w:qFormat/>
    <w:uiPriority w:val="0"/>
    <w:rPr>
      <w:rFonts w:ascii="Times New Roman" w:hAnsi="Times New Roman" w:eastAsia="Malgun Gothic"/>
      <w:lang w:val="en-GB" w:eastAsia="ko-KR"/>
    </w:rPr>
  </w:style>
  <w:style w:type="character" w:customStyle="1" w:styleId="95">
    <w:name w:val="题注 字符"/>
    <w:link w:val="15"/>
    <w:qFormat/>
    <w:uiPriority w:val="0"/>
    <w:rPr>
      <w:rFonts w:ascii="Arial" w:hAnsi="Arial"/>
      <w:b/>
      <w:bCs/>
      <w:lang w:val="en-GB" w:eastAsia="zh-CN"/>
    </w:rPr>
  </w:style>
  <w:style w:type="paragraph" w:customStyle="1" w:styleId="96">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7">
    <w:name w:val="B1 Zchn"/>
    <w:qFormat/>
    <w:uiPriority w:val="0"/>
    <w:rPr>
      <w:rFonts w:ascii="Arial" w:hAnsi="Arial" w:eastAsia="MS Mincho" w:cs="Arial"/>
      <w:color w:val="0000FF"/>
      <w:kern w:val="2"/>
      <w:lang w:val="en-GB" w:eastAsia="en-US" w:bidi="ar-SA"/>
    </w:rPr>
  </w:style>
  <w:style w:type="paragraph" w:customStyle="1" w:styleId="98">
    <w:name w:val="Revision"/>
    <w:hidden/>
    <w:semiHidden/>
    <w:qFormat/>
    <w:uiPriority w:val="99"/>
    <w:rPr>
      <w:rFonts w:ascii="Arial" w:hAnsi="Arial" w:eastAsia="SimSun" w:cs="Times New Roman"/>
      <w:lang w:val="en-GB" w:eastAsia="zh-CN" w:bidi="ar-SA"/>
    </w:rPr>
  </w:style>
  <w:style w:type="paragraph" w:styleId="99">
    <w:name w:val="List Paragraph"/>
    <w:basedOn w:val="1"/>
    <w:link w:val="106"/>
    <w:qFormat/>
    <w:uiPriority w:val="34"/>
    <w:pPr>
      <w:ind w:left="720"/>
    </w:pPr>
  </w:style>
  <w:style w:type="paragraph" w:customStyle="1" w:styleId="100">
    <w:name w:val="Doc-text2"/>
    <w:basedOn w:val="1"/>
    <w:link w:val="10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1">
    <w:name w:val="Doc-text2 Char"/>
    <w:link w:val="100"/>
    <w:qFormat/>
    <w:uiPriority w:val="0"/>
    <w:rPr>
      <w:rFonts w:ascii="Arial" w:hAnsi="Arial" w:eastAsia="MS Mincho"/>
      <w:szCs w:val="24"/>
      <w:lang w:val="en-GB" w:eastAsia="en-GB"/>
    </w:rPr>
  </w:style>
  <w:style w:type="character" w:customStyle="1" w:styleId="102">
    <w:name w:val="TH Char"/>
    <w:link w:val="75"/>
    <w:qFormat/>
    <w:uiPriority w:val="0"/>
    <w:rPr>
      <w:rFonts w:ascii="Arial" w:hAnsi="Arial"/>
      <w:b/>
      <w:lang w:val="en-GB"/>
    </w:rPr>
  </w:style>
  <w:style w:type="character" w:customStyle="1" w:styleId="103">
    <w:name w:val="TAC Char"/>
    <w:link w:val="71"/>
    <w:qFormat/>
    <w:uiPriority w:val="0"/>
    <w:rPr>
      <w:rFonts w:ascii="Arial" w:hAnsi="Arial"/>
      <w:sz w:val="18"/>
      <w:lang w:val="en-GB"/>
    </w:rPr>
  </w:style>
  <w:style w:type="character" w:customStyle="1" w:styleId="104">
    <w:name w:val="TAH Car"/>
    <w:link w:val="72"/>
    <w:qFormat/>
    <w:uiPriority w:val="0"/>
    <w:rPr>
      <w:rFonts w:ascii="Arial" w:hAnsi="Arial"/>
      <w:b/>
      <w:sz w:val="18"/>
      <w:lang w:val="en-GB"/>
    </w:rPr>
  </w:style>
  <w:style w:type="paragraph" w:customStyle="1" w:styleId="105">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6">
    <w:name w:val="列表段落 字符"/>
    <w:link w:val="99"/>
    <w:qFormat/>
    <w:locked/>
    <w:uiPriority w:val="34"/>
    <w:rPr>
      <w:rFonts w:ascii="Arial" w:hAnsi="Arial"/>
      <w:lang w:val="en-GB" w:eastAsia="zh-CN"/>
    </w:rPr>
  </w:style>
  <w:style w:type="character" w:customStyle="1" w:styleId="107">
    <w:name w:val="B1 Char1"/>
    <w:qFormat/>
    <w:uiPriority w:val="0"/>
    <w:rPr>
      <w:lang w:val="en-GB" w:eastAsia="en-US" w:bidi="ar-SA"/>
    </w:rPr>
  </w:style>
  <w:style w:type="character" w:customStyle="1" w:styleId="108">
    <w:name w:val="TF Char"/>
    <w:link w:val="76"/>
    <w:qFormat/>
    <w:uiPriority w:val="0"/>
    <w:rPr>
      <w:rFonts w:ascii="Arial" w:hAnsi="Arial"/>
      <w:b/>
      <w:lang w:val="en-GB"/>
    </w:rPr>
  </w:style>
  <w:style w:type="paragraph" w:customStyle="1" w:styleId="109">
    <w:name w:val="LGTdoc_본문"/>
    <w:basedOn w:val="1"/>
    <w:link w:val="110"/>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0">
    <w:name w:val="LGTdoc_본문 Char"/>
    <w:link w:val="109"/>
    <w:qFormat/>
    <w:uiPriority w:val="0"/>
    <w:rPr>
      <w:rFonts w:ascii="Times New Roman" w:hAnsi="Times New Roman" w:eastAsia="Batang"/>
      <w:kern w:val="2"/>
      <w:sz w:val="22"/>
      <w:szCs w:val="24"/>
      <w:lang w:val="en-GB" w:eastAsia="ko-KR"/>
    </w:rPr>
  </w:style>
  <w:style w:type="character" w:customStyle="1" w:styleId="111">
    <w:name w:val="B3 Char2"/>
    <w:qFormat/>
    <w:uiPriority w:val="0"/>
    <w:rPr>
      <w:rFonts w:eastAsia="Times New Roman"/>
      <w:lang w:eastAsia="ja-JP"/>
    </w:rPr>
  </w:style>
  <w:style w:type="character" w:customStyle="1" w:styleId="112">
    <w:name w:val="批注文字 字符"/>
    <w:link w:val="17"/>
    <w:qFormat/>
    <w:uiPriority w:val="99"/>
    <w:rPr>
      <w:rFonts w:ascii="Arial" w:hAnsi="Arial"/>
      <w:lang w:val="en-GB" w:eastAsia="zh-CN"/>
    </w:rPr>
  </w:style>
  <w:style w:type="paragraph" w:customStyle="1" w:styleId="113">
    <w:name w:val="CR Cover Page"/>
    <w:link w:val="114"/>
    <w:qFormat/>
    <w:uiPriority w:val="0"/>
    <w:pPr>
      <w:spacing w:after="120"/>
    </w:pPr>
    <w:rPr>
      <w:rFonts w:ascii="Arial" w:hAnsi="Arial" w:eastAsia="SimSun" w:cs="Times New Roman"/>
      <w:lang w:val="en-GB" w:eastAsia="en-US" w:bidi="ar-SA"/>
    </w:rPr>
  </w:style>
  <w:style w:type="character" w:customStyle="1" w:styleId="114">
    <w:name w:val="CR Cover Page Zchn"/>
    <w:link w:val="113"/>
    <w:qFormat/>
    <w:uiPriority w:val="0"/>
    <w:rPr>
      <w:rFonts w:ascii="Arial" w:hAnsi="Arial" w:eastAsia="SimSun"/>
      <w:lang w:val="en-GB"/>
    </w:rPr>
  </w:style>
  <w:style w:type="paragraph" w:customStyle="1" w:styleId="115">
    <w:name w:val="PL"/>
    <w:link w:val="11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6">
    <w:name w:val="PL Char"/>
    <w:link w:val="115"/>
    <w:qFormat/>
    <w:uiPriority w:val="0"/>
    <w:rPr>
      <w:rFonts w:ascii="Courier New" w:hAnsi="Courier New"/>
      <w:sz w:val="16"/>
      <w:shd w:val="clear" w:color="auto" w:fill="E6E6E6"/>
      <w:lang w:val="en-GB" w:eastAsia="en-GB"/>
    </w:rPr>
  </w:style>
  <w:style w:type="character" w:customStyle="1" w:styleId="117">
    <w:name w:val="TAL Car"/>
    <w:link w:val="70"/>
    <w:qFormat/>
    <w:uiPriority w:val="0"/>
    <w:rPr>
      <w:rFonts w:ascii="Arial" w:hAnsi="Arial"/>
      <w:sz w:val="18"/>
      <w:lang w:val="en-GB"/>
    </w:rPr>
  </w:style>
  <w:style w:type="paragraph" w:customStyle="1" w:styleId="118">
    <w:name w:val="Agreement"/>
    <w:basedOn w:val="1"/>
    <w:next w:val="100"/>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9">
    <w:name w:val="EmailDiscussion Char"/>
    <w:link w:val="120"/>
    <w:qFormat/>
    <w:locked/>
    <w:uiPriority w:val="0"/>
    <w:rPr>
      <w:rFonts w:ascii="Arial" w:hAnsi="Arial" w:eastAsia="MS Mincho" w:cs="Arial"/>
      <w:b/>
      <w:szCs w:val="24"/>
      <w:lang w:eastAsia="en-US"/>
    </w:rPr>
  </w:style>
  <w:style w:type="paragraph" w:customStyle="1" w:styleId="120">
    <w:name w:val="EmailDiscussion"/>
    <w:basedOn w:val="1"/>
    <w:next w:val="121"/>
    <w:link w:val="119"/>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1">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2">
    <w:name w:val="apple-tab-span"/>
    <w:basedOn w:val="11"/>
    <w:qFormat/>
    <w:uiPriority w:val="0"/>
  </w:style>
  <w:style w:type="paragraph" w:customStyle="1" w:styleId="123">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4">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5">
    <w:name w:val="标题 2 字符"/>
    <w:basedOn w:val="11"/>
    <w:link w:val="3"/>
    <w:qFormat/>
    <w:uiPriority w:val="0"/>
    <w:rPr>
      <w:rFonts w:ascii="Arial" w:hAnsi="Arial" w:cs="Arial"/>
      <w:sz w:val="32"/>
      <w:szCs w:val="32"/>
      <w:lang w:val="en-GB"/>
    </w:rPr>
  </w:style>
  <w:style w:type="character" w:customStyle="1" w:styleId="126">
    <w:name w:val="high-light"/>
    <w:basedOn w:val="11"/>
    <w:qFormat/>
    <w:uiPriority w:val="0"/>
  </w:style>
  <w:style w:type="character" w:customStyle="1" w:styleId="127">
    <w:name w:val="B2 Car"/>
    <w:basedOn w:val="11"/>
    <w:qFormat/>
    <w:uiPriority w:val="0"/>
  </w:style>
  <w:style w:type="character" w:customStyle="1" w:styleId="128">
    <w:name w:val="NO Zchn"/>
    <w:qFormat/>
    <w:uiPriority w:val="0"/>
    <w:rPr>
      <w:rFonts w:ascii="Times New Roman" w:hAnsi="Times New Roman" w:eastAsia="SimSun"/>
      <w:lang w:val="en-GB" w:eastAsia="ja-JP"/>
    </w:rPr>
  </w:style>
  <w:style w:type="character" w:customStyle="1" w:styleId="129">
    <w:name w:val="B4 Char"/>
    <w:link w:val="64"/>
    <w:qFormat/>
    <w:locked/>
    <w:uiPriority w:val="0"/>
    <w:rPr>
      <w:rFonts w:ascii="Arial" w:hAnsi="Arial"/>
      <w:lang w:val="en-GB" w:eastAsia="en-US"/>
    </w:rPr>
  </w:style>
  <w:style w:type="character" w:customStyle="1" w:styleId="130">
    <w:name w:val="CR Cover Page Char"/>
    <w:qFormat/>
    <w:uiPriority w:val="0"/>
    <w:rPr>
      <w:rFonts w:ascii="Arial" w:hAnsi="Arial"/>
      <w:lang w:val="en-GB" w:eastAsia="en-US" w:bidi="ar-SA"/>
    </w:rPr>
  </w:style>
  <w:style w:type="character" w:customStyle="1" w:styleId="131">
    <w:name w:val="标题 3 字符"/>
    <w:link w:val="4"/>
    <w:qFormat/>
    <w:uiPriority w:val="0"/>
    <w:rPr>
      <w:rFonts w:ascii="Arial" w:hAnsi="Arial" w:cs="Arial"/>
      <w:sz w:val="28"/>
      <w:szCs w:val="28"/>
      <w:lang w:val="en-GB"/>
    </w:rPr>
  </w:style>
  <w:style w:type="character" w:customStyle="1" w:styleId="132">
    <w:name w:val="ui-provider"/>
    <w:basedOn w:val="11"/>
    <w:qFormat/>
    <w:uiPriority w:val="0"/>
  </w:style>
  <w:style w:type="paragraph" w:customStyle="1" w:styleId="133">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4">
    <w:name w:val="Doc-title"/>
    <w:basedOn w:val="1"/>
    <w:next w:val="100"/>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B5C809-48AD-4AC1-A8D3-E11BE8807334}">
  <ds:schemaRefs/>
</ds:datastoreItem>
</file>

<file path=customXml/itemProps2.xml><?xml version="1.0" encoding="utf-8"?>
<ds:datastoreItem xmlns:ds="http://schemas.openxmlformats.org/officeDocument/2006/customXml" ds:itemID="{FD775F1D-F534-4A5E-A862-A594C6A0FD9F}">
  <ds:schemaRefs/>
</ds:datastoreItem>
</file>

<file path=customXml/itemProps3.xml><?xml version="1.0" encoding="utf-8"?>
<ds:datastoreItem xmlns:ds="http://schemas.openxmlformats.org/officeDocument/2006/customXml" ds:itemID="{F2E6D74F-0206-4B1F-8E31-1DEEC2C0A8D0}">
  <ds:schemaRefs/>
</ds:datastoreItem>
</file>

<file path=customXml/itemProps4.xml><?xml version="1.0" encoding="utf-8"?>
<ds:datastoreItem xmlns:ds="http://schemas.openxmlformats.org/officeDocument/2006/customXml" ds:itemID="{4B233F98-3720-4915-BED5-DA20EC376FDC}">
  <ds:schemaRefs/>
</ds:datastoreItem>
</file>

<file path=customXml/itemProps5.xml><?xml version="1.0" encoding="utf-8"?>
<ds:datastoreItem xmlns:ds="http://schemas.openxmlformats.org/officeDocument/2006/customXml" ds:itemID="{5FC3BF04-EC5C-4B77-A770-2D16BE3A519E}">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5</Pages>
  <Words>3347</Words>
  <Characters>18439</Characters>
  <Lines>153</Lines>
  <Paragraphs>43</Paragraphs>
  <TotalTime>2</TotalTime>
  <ScaleCrop>false</ScaleCrop>
  <LinksUpToDate>false</LinksUpToDate>
  <CharactersWithSpaces>21743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2026-01-30T09:22:13Z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1033-12.2.0.23196</vt:lpwstr>
  </property>
  <property fmtid="{D5CDD505-2E9C-101B-9397-08002B2CF9AE}" pid="28" name="ICV">
    <vt:lpwstr>6249291494744201A50E069E04915853_13</vt:lpwstr>
  </property>
</Properties>
</file>